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2F" w:rsidRDefault="00933F82" w:rsidP="0036352F">
      <w:pPr>
        <w:widowControl/>
        <w:spacing w:beforeLines="50" w:before="156" w:afterLines="50" w:after="156" w:line="480" w:lineRule="exact"/>
        <w:jc w:val="center"/>
        <w:rPr>
          <w:rFonts w:ascii="微软雅黑" w:eastAsia="微软雅黑" w:hAnsi="微软雅黑"/>
          <w:b/>
          <w:bCs/>
          <w:color w:val="FF0000"/>
          <w:kern w:val="36"/>
          <w:sz w:val="30"/>
          <w:szCs w:val="30"/>
        </w:rPr>
      </w:pPr>
      <w:r w:rsidRPr="0036352F">
        <w:rPr>
          <w:rFonts w:ascii="微软雅黑" w:eastAsia="微软雅黑" w:hAnsi="微软雅黑" w:hint="eastAsia"/>
          <w:b/>
          <w:bCs/>
          <w:color w:val="FF0000"/>
          <w:kern w:val="36"/>
          <w:sz w:val="30"/>
          <w:szCs w:val="30"/>
        </w:rPr>
        <w:t>国家中长期教育改革和发展规划纲要</w:t>
      </w:r>
    </w:p>
    <w:p w:rsidR="00933F82" w:rsidRPr="0036352F" w:rsidRDefault="00933F82" w:rsidP="0036352F">
      <w:pPr>
        <w:widowControl/>
        <w:spacing w:beforeLines="50" w:before="156" w:afterLines="50" w:after="156" w:line="480" w:lineRule="exact"/>
        <w:jc w:val="center"/>
        <w:rPr>
          <w:rFonts w:ascii="微软雅黑" w:eastAsia="微软雅黑" w:hAnsi="微软雅黑"/>
          <w:b/>
          <w:bCs/>
          <w:color w:val="FF0000"/>
          <w:kern w:val="36"/>
          <w:sz w:val="30"/>
          <w:szCs w:val="30"/>
        </w:rPr>
      </w:pPr>
      <w:r w:rsidRPr="0036352F">
        <w:rPr>
          <w:rFonts w:ascii="微软雅黑" w:eastAsia="微软雅黑" w:hAnsi="微软雅黑" w:hint="eastAsia"/>
          <w:b/>
          <w:bCs/>
          <w:color w:val="FF0000"/>
          <w:kern w:val="36"/>
          <w:sz w:val="30"/>
          <w:szCs w:val="30"/>
        </w:rPr>
        <w:t>（2010-2020年）</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根据党的十七大关于</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优先发展教育，建设人力资源强国</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的战略部署，为促进教育事业科学发展，全面提高国民素质，加快社会主义现代化进程，制定本《教育规划纲要》。</w:t>
      </w:r>
    </w:p>
    <w:p w:rsidR="00933F82" w:rsidRPr="00933F82" w:rsidRDefault="00933F82" w:rsidP="0036352F">
      <w:pPr>
        <w:widowControl/>
        <w:spacing w:beforeLines="50" w:before="156" w:afterLines="50" w:after="156" w:line="480" w:lineRule="exact"/>
        <w:ind w:firstLineChars="200" w:firstLine="482"/>
        <w:rPr>
          <w:rFonts w:ascii="Arial" w:eastAsia="宋体" w:hAnsi="Arial" w:cs="Arial"/>
          <w:color w:val="000000"/>
          <w:kern w:val="0"/>
          <w:sz w:val="24"/>
          <w:szCs w:val="24"/>
        </w:rPr>
      </w:pPr>
      <w:r w:rsidRPr="00933F82">
        <w:rPr>
          <w:rFonts w:ascii="Arial" w:eastAsia="宋体" w:hAnsi="Arial" w:cs="Arial"/>
          <w:b/>
          <w:bCs/>
          <w:color w:val="000000"/>
          <w:kern w:val="0"/>
          <w:sz w:val="24"/>
          <w:szCs w:val="24"/>
        </w:rPr>
        <w:t>​</w:t>
      </w:r>
      <w:r w:rsidRPr="00933F82">
        <w:rPr>
          <w:rFonts w:ascii="Arial" w:eastAsia="宋体" w:hAnsi="Arial" w:cs="Arial"/>
          <w:b/>
          <w:bCs/>
          <w:color w:val="000000"/>
          <w:kern w:val="0"/>
          <w:sz w:val="24"/>
          <w:szCs w:val="24"/>
        </w:rPr>
        <w:t>序</w:t>
      </w:r>
      <w:r w:rsidRPr="00933F82">
        <w:rPr>
          <w:rFonts w:ascii="Arial" w:eastAsia="宋体" w:hAnsi="Arial" w:cs="Arial"/>
          <w:b/>
          <w:bCs/>
          <w:color w:val="000000"/>
          <w:kern w:val="0"/>
          <w:sz w:val="24"/>
          <w:szCs w:val="24"/>
        </w:rPr>
        <w:t> </w:t>
      </w:r>
      <w:r w:rsidRPr="00933F82">
        <w:rPr>
          <w:rFonts w:ascii="Arial" w:eastAsia="宋体" w:hAnsi="Arial" w:cs="Arial"/>
          <w:b/>
          <w:bCs/>
          <w:color w:val="000000"/>
          <w:kern w:val="0"/>
          <w:sz w:val="24"/>
          <w:szCs w:val="24"/>
        </w:rPr>
        <w:t>言</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展、社会进步和民生改善作出了不可替代的重大贡献。我国实现了从人口大国向人力资源大国的转变。</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面对前所未有的机遇和挑战，必须清醒认识到，我国教育还不完全适应国家经济社会发展和人民群众接受良好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战略地位尚未得到完全落实。接受良好教育成为人民群众强烈期盼，深化教育改革成为全社会共同心声。</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作出更大贡献。</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bCs/>
          <w:color w:val="000000"/>
          <w:kern w:val="0"/>
          <w:sz w:val="24"/>
          <w:szCs w:val="24"/>
        </w:rPr>
        <w:t>第一部分</w:t>
      </w:r>
      <w:r w:rsidRPr="00933F82">
        <w:rPr>
          <w:rFonts w:ascii="Arial" w:eastAsia="宋体" w:hAnsi="Arial" w:cs="Arial"/>
          <w:b/>
          <w:bCs/>
          <w:color w:val="000000"/>
          <w:kern w:val="0"/>
          <w:sz w:val="24"/>
          <w:szCs w:val="24"/>
        </w:rPr>
        <w:t xml:space="preserve"> </w:t>
      </w:r>
      <w:r w:rsidRPr="00933F82">
        <w:rPr>
          <w:rFonts w:ascii="Arial" w:eastAsia="宋体" w:hAnsi="Arial" w:cs="Arial"/>
          <w:b/>
          <w:bCs/>
          <w:color w:val="000000"/>
          <w:kern w:val="0"/>
          <w:sz w:val="24"/>
          <w:szCs w:val="24"/>
        </w:rPr>
        <w:t>总体战略</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bCs/>
          <w:color w:val="000000"/>
          <w:kern w:val="0"/>
          <w:sz w:val="24"/>
          <w:szCs w:val="24"/>
        </w:rPr>
        <w:t>第一章</w:t>
      </w:r>
      <w:r w:rsidRPr="00933F82">
        <w:rPr>
          <w:rFonts w:ascii="Arial" w:eastAsia="宋体" w:hAnsi="Arial" w:cs="Arial"/>
          <w:b/>
          <w:bCs/>
          <w:color w:val="000000"/>
          <w:kern w:val="0"/>
          <w:sz w:val="24"/>
          <w:szCs w:val="24"/>
        </w:rPr>
        <w:t xml:space="preserve"> </w:t>
      </w:r>
      <w:r w:rsidRPr="00933F82">
        <w:rPr>
          <w:rFonts w:ascii="Arial" w:eastAsia="宋体" w:hAnsi="Arial" w:cs="Arial"/>
          <w:b/>
          <w:bCs/>
          <w:color w:val="000000"/>
          <w:kern w:val="0"/>
          <w:sz w:val="24"/>
          <w:szCs w:val="24"/>
        </w:rPr>
        <w:t>指导思想和工作方针</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（一）指导思想。高举中国特色社会主义伟大旗帜，以邓小平理论和</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三个代表</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重要思想为指导，深入贯彻落实科学发展观，实施科教兴国战略和人才强国战略，优先发展教育，完善中国特色社会主义现代教育体系，办好人民满意的教育，建设人力资源强国。</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全面贯彻党的教育方针，坚持教育为社会主义现代化建设服务，为人民服务，与生产劳动和社会实践相结合，培养德智体美全面发展的社会主义建设者和接班人。</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全面推进教育事业科学发展，立足社会主义初级阶段基本国情，把握教育发展阶段性特征，坚持以人为本，遵循教育规律，面向社会需求，优化结构布局，提高教育现代化水平。</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（二）工作方针。优先发展、育人为本、改革创新、促进公平、提高质量。</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把促进公平作为国家基本教育政策。教育公平是社会公平的重要基础。教育公平的关键是机会公平，基本要求是保障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把提高质量作为教育改革发展的核心任务。树立科学的质量观，把促进人的全面发展、适应社会需要作为衡量教育质量的根本标准。树立以提高质量为核心</w:t>
      </w:r>
      <w:r w:rsidRPr="00933F82">
        <w:rPr>
          <w:rFonts w:ascii="Arial" w:eastAsia="宋体" w:hAnsi="Arial" w:cs="Arial"/>
          <w:color w:val="000000"/>
          <w:kern w:val="0"/>
          <w:sz w:val="24"/>
          <w:szCs w:val="24"/>
        </w:rPr>
        <w:lastRenderedPageBreak/>
        <w:t>的教育发展观，注重教育内涵发展，鼓励学校办出特色、办出水平，出名师，育英才。建立以提高教育质量为导向的管理制度和工作机制，把教育资源配置和学校工作重点集中到强化教学环节、提高教育质量上来。制定教育质量国家标准，建立健全教育质量保障体系。加强教师队伍建设，提高教师整体素质。</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第二章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战略目标和战略主题</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（三）战略目标。到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年，基本实现教育现代化，基本形成学习型社会，进入人力资源强国行列。</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实现更高水平的普及教育。基本普及学前教育；巩固提高九年义务教育水平；普及高中阶段教育，毛入学率达到</w:t>
      </w:r>
      <w:r w:rsidRPr="00933F82">
        <w:rPr>
          <w:rFonts w:ascii="Arial" w:eastAsia="宋体" w:hAnsi="Arial" w:cs="Arial"/>
          <w:color w:val="000000"/>
          <w:kern w:val="0"/>
          <w:sz w:val="24"/>
          <w:szCs w:val="24"/>
        </w:rPr>
        <w:t>90%</w:t>
      </w:r>
      <w:r w:rsidRPr="00933F82">
        <w:rPr>
          <w:rFonts w:ascii="Arial" w:eastAsia="宋体" w:hAnsi="Arial" w:cs="Arial"/>
          <w:color w:val="000000"/>
          <w:kern w:val="0"/>
          <w:sz w:val="24"/>
          <w:szCs w:val="24"/>
        </w:rPr>
        <w:t>；高等教育大众化水平进一步提高，毛入学率达到</w:t>
      </w:r>
      <w:r w:rsidRPr="00933F82">
        <w:rPr>
          <w:rFonts w:ascii="Arial" w:eastAsia="宋体" w:hAnsi="Arial" w:cs="Arial"/>
          <w:color w:val="000000"/>
          <w:kern w:val="0"/>
          <w:sz w:val="24"/>
          <w:szCs w:val="24"/>
        </w:rPr>
        <w:t>40%</w:t>
      </w:r>
      <w:r w:rsidRPr="00933F82">
        <w:rPr>
          <w:rFonts w:ascii="Arial" w:eastAsia="宋体" w:hAnsi="Arial" w:cs="Arial"/>
          <w:color w:val="000000"/>
          <w:kern w:val="0"/>
          <w:sz w:val="24"/>
          <w:szCs w:val="24"/>
        </w:rPr>
        <w:t>；扫除青壮年文盲。新增劳动力平均受教育年限从</w:t>
      </w:r>
      <w:r w:rsidRPr="00933F82">
        <w:rPr>
          <w:rFonts w:ascii="Arial" w:eastAsia="宋体" w:hAnsi="Arial" w:cs="Arial"/>
          <w:color w:val="000000"/>
          <w:kern w:val="0"/>
          <w:sz w:val="24"/>
          <w:szCs w:val="24"/>
        </w:rPr>
        <w:t>12.4</w:t>
      </w:r>
      <w:r w:rsidRPr="00933F82">
        <w:rPr>
          <w:rFonts w:ascii="Arial" w:eastAsia="宋体" w:hAnsi="Arial" w:cs="Arial"/>
          <w:color w:val="000000"/>
          <w:kern w:val="0"/>
          <w:sz w:val="24"/>
          <w:szCs w:val="24"/>
        </w:rPr>
        <w:t>年提高到</w:t>
      </w:r>
      <w:r w:rsidRPr="00933F82">
        <w:rPr>
          <w:rFonts w:ascii="Arial" w:eastAsia="宋体" w:hAnsi="Arial" w:cs="Arial"/>
          <w:color w:val="000000"/>
          <w:kern w:val="0"/>
          <w:sz w:val="24"/>
          <w:szCs w:val="24"/>
        </w:rPr>
        <w:t>13.5</w:t>
      </w:r>
      <w:r w:rsidRPr="00933F82">
        <w:rPr>
          <w:rFonts w:ascii="Arial" w:eastAsia="宋体" w:hAnsi="Arial" w:cs="Arial"/>
          <w:color w:val="000000"/>
          <w:kern w:val="0"/>
          <w:sz w:val="24"/>
          <w:szCs w:val="24"/>
        </w:rPr>
        <w:t>年；主要劳动年龄人口平均受教育年限从</w:t>
      </w:r>
      <w:r w:rsidRPr="00933F82">
        <w:rPr>
          <w:rFonts w:ascii="Arial" w:eastAsia="宋体" w:hAnsi="Arial" w:cs="Arial"/>
          <w:color w:val="000000"/>
          <w:kern w:val="0"/>
          <w:sz w:val="24"/>
          <w:szCs w:val="24"/>
        </w:rPr>
        <w:t>9.5</w:t>
      </w:r>
      <w:r w:rsidRPr="00933F82">
        <w:rPr>
          <w:rFonts w:ascii="Arial" w:eastAsia="宋体" w:hAnsi="Arial" w:cs="Arial"/>
          <w:color w:val="000000"/>
          <w:kern w:val="0"/>
          <w:sz w:val="24"/>
          <w:szCs w:val="24"/>
        </w:rPr>
        <w:t>年提高到</w:t>
      </w:r>
      <w:r w:rsidRPr="00933F82">
        <w:rPr>
          <w:rFonts w:ascii="Arial" w:eastAsia="宋体" w:hAnsi="Arial" w:cs="Arial"/>
          <w:color w:val="000000"/>
          <w:kern w:val="0"/>
          <w:sz w:val="24"/>
          <w:szCs w:val="24"/>
        </w:rPr>
        <w:t>11.2</w:t>
      </w:r>
      <w:r w:rsidRPr="00933F82">
        <w:rPr>
          <w:rFonts w:ascii="Arial" w:eastAsia="宋体" w:hAnsi="Arial" w:cs="Arial"/>
          <w:color w:val="000000"/>
          <w:kern w:val="0"/>
          <w:sz w:val="24"/>
          <w:szCs w:val="24"/>
        </w:rPr>
        <w:t>年，其中受过高等教育的比例达到</w:t>
      </w:r>
      <w:r w:rsidRPr="00933F82">
        <w:rPr>
          <w:rFonts w:ascii="Arial" w:eastAsia="宋体" w:hAnsi="Arial" w:cs="Arial"/>
          <w:color w:val="000000"/>
          <w:kern w:val="0"/>
          <w:sz w:val="24"/>
          <w:szCs w:val="24"/>
        </w:rPr>
        <w:t>20%</w:t>
      </w:r>
      <w:r w:rsidRPr="00933F82">
        <w:rPr>
          <w:rFonts w:ascii="Arial" w:eastAsia="宋体" w:hAnsi="Arial" w:cs="Arial"/>
          <w:color w:val="000000"/>
          <w:kern w:val="0"/>
          <w:sz w:val="24"/>
          <w:szCs w:val="24"/>
        </w:rPr>
        <w:t>，具有高等教育文化程度的人数比</w:t>
      </w:r>
      <w:r w:rsidRPr="00933F82">
        <w:rPr>
          <w:rFonts w:ascii="Arial" w:eastAsia="宋体" w:hAnsi="Arial" w:cs="Arial"/>
          <w:color w:val="000000"/>
          <w:kern w:val="0"/>
          <w:sz w:val="24"/>
          <w:szCs w:val="24"/>
        </w:rPr>
        <w:t>2009</w:t>
      </w:r>
      <w:r w:rsidRPr="00933F82">
        <w:rPr>
          <w:rFonts w:ascii="Arial" w:eastAsia="宋体" w:hAnsi="Arial" w:cs="Arial"/>
          <w:color w:val="000000"/>
          <w:kern w:val="0"/>
          <w:sz w:val="24"/>
          <w:szCs w:val="24"/>
        </w:rPr>
        <w:t>年翻一番。</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形成惠及全民的公平教育。坚持教育的公益性和普惠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构建体系完备的终身教育。学历教育和非学历教育协调发展，职业教育和普通教育相互沟通，职前教育和职后教育有效衔接。继续教育参与率大幅提升，从业人员继续教育年参与率达到</w:t>
      </w:r>
      <w:r w:rsidRPr="00933F82">
        <w:rPr>
          <w:rFonts w:ascii="Arial" w:eastAsia="宋体" w:hAnsi="Arial" w:cs="Arial"/>
          <w:color w:val="000000"/>
          <w:kern w:val="0"/>
          <w:sz w:val="24"/>
          <w:szCs w:val="24"/>
        </w:rPr>
        <w:t>50%</w:t>
      </w:r>
      <w:r w:rsidRPr="00933F82">
        <w:rPr>
          <w:rFonts w:ascii="Arial" w:eastAsia="宋体" w:hAnsi="Arial" w:cs="Arial"/>
          <w:color w:val="000000"/>
          <w:kern w:val="0"/>
          <w:sz w:val="24"/>
          <w:szCs w:val="24"/>
        </w:rPr>
        <w:t>。现代国民教育体系更加完善，终身教育体系基本形成，促进全体人民学有所教、学有所成、学有所用。</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战略主题。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坚持能力为重。优化知识结构，丰富社会实践，强化能力培养。着力提高学生的学习能力、实践能力、创新能力，教育学生学会知识技能，学会动手动脑，学会生存生活，学会做人做事，促进学生主动适应社会，开创美好未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坚持全面发展。全面加强和改进德育、智育、体育、美育。坚持文化知识学习与思想品德修养的统一、理论学习与社会实践的统一、全面发展与个性发展的统一。加强体育，牢固树立健康第一的思想，确保学生体育课程和课余活动时间，提高体育教学质量，加强心理健康教育，促进学生身心健康、体魄强健、意志坚</w:t>
      </w:r>
      <w:r w:rsidRPr="00933F82">
        <w:rPr>
          <w:rFonts w:ascii="Arial" w:eastAsia="宋体" w:hAnsi="Arial" w:cs="Arial"/>
          <w:color w:val="000000"/>
          <w:kern w:val="0"/>
          <w:sz w:val="24"/>
          <w:szCs w:val="24"/>
        </w:rPr>
        <w:lastRenderedPageBreak/>
        <w:t>强；加强美育，培养学生良好的审美情趣和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p>
    <w:p w:rsidR="00933F82" w:rsidRPr="00933F82" w:rsidRDefault="00933F82" w:rsidP="0036352F">
      <w:pPr>
        <w:widowControl/>
        <w:spacing w:beforeLines="50" w:before="156" w:afterLines="50" w:after="156" w:line="480" w:lineRule="exact"/>
        <w:jc w:val="center"/>
        <w:rPr>
          <w:rFonts w:ascii="Arial" w:eastAsia="宋体" w:hAnsi="Arial" w:cs="Arial"/>
          <w:color w:val="000000"/>
          <w:kern w:val="0"/>
          <w:sz w:val="24"/>
          <w:szCs w:val="24"/>
        </w:rPr>
      </w:pPr>
      <w:r w:rsidRPr="00933F82">
        <w:rPr>
          <w:rFonts w:ascii="Arial" w:eastAsia="宋体" w:hAnsi="Arial" w:cs="Arial"/>
          <w:color w:val="000000"/>
          <w:kern w:val="0"/>
          <w:sz w:val="24"/>
          <w:szCs w:val="24"/>
        </w:rPr>
        <w:t>专栏</w:t>
      </w:r>
      <w:r w:rsidRPr="00933F82">
        <w:rPr>
          <w:rFonts w:ascii="Arial" w:eastAsia="宋体" w:hAnsi="Arial" w:cs="Arial"/>
          <w:color w:val="000000"/>
          <w:kern w:val="0"/>
          <w:sz w:val="24"/>
          <w:szCs w:val="24"/>
        </w:rPr>
        <w:t>1</w:t>
      </w:r>
      <w:r w:rsidRPr="00933F82">
        <w:rPr>
          <w:rFonts w:ascii="Arial" w:eastAsia="宋体" w:hAnsi="Arial" w:cs="Arial"/>
          <w:color w:val="000000"/>
          <w:kern w:val="0"/>
          <w:sz w:val="24"/>
          <w:szCs w:val="24"/>
        </w:rPr>
        <w:t>：教育事业发展主目标</w:t>
      </w:r>
    </w:p>
    <w:tbl>
      <w:tblPr>
        <w:tblStyle w:val="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4"/>
        <w:gridCol w:w="1110"/>
        <w:gridCol w:w="1111"/>
        <w:gridCol w:w="1111"/>
      </w:tblGrid>
      <w:tr w:rsidR="00933F82" w:rsidRPr="00933F82" w:rsidTr="00933F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指标</w:t>
            </w:r>
          </w:p>
        </w:tc>
        <w:tc>
          <w:tcPr>
            <w:tcW w:w="1134" w:type="dxa"/>
            <w:tcBorders>
              <w:bottom w:val="none" w:sz="0" w:space="0" w:color="auto"/>
            </w:tcBorders>
            <w:shd w:val="clear" w:color="auto" w:fill="auto"/>
            <w:hideMark/>
          </w:tcPr>
          <w:p w:rsidR="00933F82" w:rsidRPr="00933F82" w:rsidRDefault="00933F82" w:rsidP="0036352F">
            <w:pPr>
              <w:widowControl/>
              <w:cnfStyle w:val="100000000000" w:firstRow="1" w:lastRow="0" w:firstColumn="0" w:lastColumn="0" w:oddVBand="0" w:evenVBand="0" w:oddHBand="0" w:evenHBand="0" w:firstRowFirstColumn="0" w:firstRowLastColumn="0" w:lastRowFirstColumn="0" w:lastRowLastColumn="0"/>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单位</w:t>
            </w:r>
          </w:p>
        </w:tc>
        <w:tc>
          <w:tcPr>
            <w:tcW w:w="1110" w:type="dxa"/>
            <w:tcBorders>
              <w:bottom w:val="none" w:sz="0" w:space="0" w:color="auto"/>
            </w:tcBorders>
            <w:shd w:val="clear" w:color="auto" w:fill="auto"/>
            <w:hideMark/>
          </w:tcPr>
          <w:p w:rsidR="00933F82" w:rsidRPr="00933F82" w:rsidRDefault="00933F82" w:rsidP="0036352F">
            <w:pPr>
              <w:widowControl/>
              <w:cnfStyle w:val="100000000000" w:firstRow="1" w:lastRow="0" w:firstColumn="0" w:lastColumn="0" w:oddVBand="0" w:evenVBand="0" w:oddHBand="0" w:evenHBand="0" w:firstRowFirstColumn="0" w:firstRowLastColumn="0" w:lastRowFirstColumn="0" w:lastRowLastColumn="0"/>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2009</w:t>
            </w:r>
            <w:r w:rsidRPr="00933F82">
              <w:rPr>
                <w:rFonts w:ascii="Arial" w:eastAsia="宋体" w:hAnsi="Arial" w:cs="Arial"/>
                <w:b w:val="0"/>
                <w:color w:val="000000"/>
                <w:kern w:val="0"/>
                <w:sz w:val="24"/>
                <w:szCs w:val="24"/>
              </w:rPr>
              <w:t>年</w:t>
            </w:r>
          </w:p>
        </w:tc>
        <w:tc>
          <w:tcPr>
            <w:tcW w:w="1111" w:type="dxa"/>
            <w:tcBorders>
              <w:bottom w:val="none" w:sz="0" w:space="0" w:color="auto"/>
            </w:tcBorders>
            <w:shd w:val="clear" w:color="auto" w:fill="auto"/>
            <w:hideMark/>
          </w:tcPr>
          <w:p w:rsidR="00933F82" w:rsidRPr="00933F82" w:rsidRDefault="00933F82" w:rsidP="0036352F">
            <w:pPr>
              <w:widowControl/>
              <w:cnfStyle w:val="100000000000" w:firstRow="1" w:lastRow="0" w:firstColumn="0" w:lastColumn="0" w:oddVBand="0" w:evenVBand="0" w:oddHBand="0" w:evenHBand="0" w:firstRowFirstColumn="0" w:firstRowLastColumn="0" w:lastRowFirstColumn="0" w:lastRowLastColumn="0"/>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2015</w:t>
            </w:r>
            <w:r w:rsidRPr="00933F82">
              <w:rPr>
                <w:rFonts w:ascii="Arial" w:eastAsia="宋体" w:hAnsi="Arial" w:cs="Arial"/>
                <w:b w:val="0"/>
                <w:color w:val="000000"/>
                <w:kern w:val="0"/>
                <w:sz w:val="24"/>
                <w:szCs w:val="24"/>
              </w:rPr>
              <w:t>年</w:t>
            </w:r>
          </w:p>
        </w:tc>
        <w:tc>
          <w:tcPr>
            <w:tcW w:w="1111" w:type="dxa"/>
            <w:tcBorders>
              <w:bottom w:val="none" w:sz="0" w:space="0" w:color="auto"/>
            </w:tcBorders>
            <w:shd w:val="clear" w:color="auto" w:fill="auto"/>
            <w:hideMark/>
          </w:tcPr>
          <w:p w:rsidR="00933F82" w:rsidRPr="00933F82" w:rsidRDefault="00933F82" w:rsidP="0036352F">
            <w:pPr>
              <w:widowControl/>
              <w:cnfStyle w:val="100000000000" w:firstRow="1" w:lastRow="0" w:firstColumn="0" w:lastColumn="0" w:oddVBand="0" w:evenVBand="0" w:oddHBand="0" w:evenHBand="0" w:firstRowFirstColumn="0" w:firstRowLastColumn="0" w:lastRowFirstColumn="0" w:lastRowLastColumn="0"/>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2020</w:t>
            </w:r>
            <w:r w:rsidRPr="00933F82">
              <w:rPr>
                <w:rFonts w:ascii="Arial" w:eastAsia="宋体" w:hAnsi="Arial" w:cs="Arial"/>
                <w:b w:val="0"/>
                <w:color w:val="000000"/>
                <w:kern w:val="0"/>
                <w:sz w:val="24"/>
                <w:szCs w:val="24"/>
              </w:rPr>
              <w:t>年</w:t>
            </w:r>
          </w:p>
        </w:tc>
      </w:tr>
      <w:tr w:rsidR="00933F82" w:rsidRPr="00933F82" w:rsidTr="00933F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学前教育</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幼儿在园人数</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学前一年毛入园率</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学前两年毛入园率</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学前三年毛入园率</w:t>
            </w:r>
          </w:p>
        </w:tc>
        <w:tc>
          <w:tcPr>
            <w:tcW w:w="1134"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t>%</w:t>
            </w:r>
            <w:r w:rsidRPr="00933F82">
              <w:rPr>
                <w:rFonts w:ascii="Arial" w:eastAsia="宋体" w:hAnsi="Arial" w:cs="Arial"/>
                <w:color w:val="000000"/>
                <w:kern w:val="0"/>
                <w:sz w:val="24"/>
                <w:szCs w:val="24"/>
              </w:rPr>
              <w:br/>
              <w:t>%</w:t>
            </w:r>
            <w:r w:rsidRPr="00933F82">
              <w:rPr>
                <w:rFonts w:ascii="Arial" w:eastAsia="宋体" w:hAnsi="Arial" w:cs="Arial"/>
                <w:color w:val="000000"/>
                <w:kern w:val="0"/>
                <w:sz w:val="24"/>
                <w:szCs w:val="24"/>
              </w:rPr>
              <w:br/>
              <w:t>%</w:t>
            </w:r>
          </w:p>
        </w:tc>
        <w:tc>
          <w:tcPr>
            <w:tcW w:w="1110"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2658</w:t>
            </w:r>
            <w:r w:rsidRPr="00933F82">
              <w:rPr>
                <w:rFonts w:ascii="Arial" w:eastAsia="宋体" w:hAnsi="Arial" w:cs="Arial"/>
                <w:color w:val="000000"/>
                <w:kern w:val="0"/>
                <w:sz w:val="24"/>
                <w:szCs w:val="24"/>
              </w:rPr>
              <w:br/>
              <w:t>74.0</w:t>
            </w:r>
            <w:r w:rsidRPr="00933F82">
              <w:rPr>
                <w:rFonts w:ascii="Arial" w:eastAsia="宋体" w:hAnsi="Arial" w:cs="Arial"/>
                <w:color w:val="000000"/>
                <w:kern w:val="0"/>
                <w:sz w:val="24"/>
                <w:szCs w:val="24"/>
              </w:rPr>
              <w:br/>
              <w:t>65.0</w:t>
            </w:r>
            <w:r w:rsidRPr="00933F82">
              <w:rPr>
                <w:rFonts w:ascii="Arial" w:eastAsia="宋体" w:hAnsi="Arial" w:cs="Arial"/>
                <w:color w:val="000000"/>
                <w:kern w:val="0"/>
                <w:sz w:val="24"/>
                <w:szCs w:val="24"/>
              </w:rPr>
              <w:br/>
              <w:t>50.9</w:t>
            </w:r>
          </w:p>
        </w:tc>
        <w:tc>
          <w:tcPr>
            <w:tcW w:w="1111"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3400</w:t>
            </w:r>
            <w:r w:rsidRPr="00933F82">
              <w:rPr>
                <w:rFonts w:ascii="Arial" w:eastAsia="宋体" w:hAnsi="Arial" w:cs="Arial"/>
                <w:color w:val="000000"/>
                <w:kern w:val="0"/>
                <w:sz w:val="24"/>
                <w:szCs w:val="24"/>
              </w:rPr>
              <w:br/>
              <w:t>85.0</w:t>
            </w:r>
            <w:r w:rsidRPr="00933F82">
              <w:rPr>
                <w:rFonts w:ascii="Arial" w:eastAsia="宋体" w:hAnsi="Arial" w:cs="Arial"/>
                <w:color w:val="000000"/>
                <w:kern w:val="0"/>
                <w:sz w:val="24"/>
                <w:szCs w:val="24"/>
              </w:rPr>
              <w:br/>
              <w:t>70.0</w:t>
            </w:r>
            <w:r w:rsidRPr="00933F82">
              <w:rPr>
                <w:rFonts w:ascii="Arial" w:eastAsia="宋体" w:hAnsi="Arial" w:cs="Arial"/>
                <w:color w:val="000000"/>
                <w:kern w:val="0"/>
                <w:sz w:val="24"/>
                <w:szCs w:val="24"/>
              </w:rPr>
              <w:br/>
              <w:t>60.0</w:t>
            </w:r>
          </w:p>
        </w:tc>
        <w:tc>
          <w:tcPr>
            <w:tcW w:w="1111"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4000</w:t>
            </w:r>
            <w:r w:rsidRPr="00933F82">
              <w:rPr>
                <w:rFonts w:ascii="Arial" w:eastAsia="宋体" w:hAnsi="Arial" w:cs="Arial"/>
                <w:color w:val="000000"/>
                <w:kern w:val="0"/>
                <w:sz w:val="24"/>
                <w:szCs w:val="24"/>
              </w:rPr>
              <w:br/>
              <w:t>95.0</w:t>
            </w:r>
            <w:r w:rsidRPr="00933F82">
              <w:rPr>
                <w:rFonts w:ascii="Arial" w:eastAsia="宋体" w:hAnsi="Arial" w:cs="Arial"/>
                <w:color w:val="000000"/>
                <w:kern w:val="0"/>
                <w:sz w:val="24"/>
                <w:szCs w:val="24"/>
              </w:rPr>
              <w:br/>
              <w:t>80.0</w:t>
            </w:r>
            <w:r w:rsidRPr="00933F82">
              <w:rPr>
                <w:rFonts w:ascii="Arial" w:eastAsia="宋体" w:hAnsi="Arial" w:cs="Arial"/>
                <w:color w:val="000000"/>
                <w:kern w:val="0"/>
                <w:sz w:val="24"/>
                <w:szCs w:val="24"/>
              </w:rPr>
              <w:br/>
              <w:t>70.0</w:t>
            </w:r>
          </w:p>
        </w:tc>
      </w:tr>
      <w:tr w:rsidR="00933F82" w:rsidRPr="00933F82" w:rsidTr="00933F82">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九年义务教育</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在校生</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巩固率</w:t>
            </w:r>
          </w:p>
        </w:tc>
        <w:tc>
          <w:tcPr>
            <w:tcW w:w="1134"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t>%</w:t>
            </w:r>
          </w:p>
        </w:tc>
        <w:tc>
          <w:tcPr>
            <w:tcW w:w="1110"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15772</w:t>
            </w:r>
            <w:r w:rsidRPr="00933F82">
              <w:rPr>
                <w:rFonts w:ascii="Arial" w:eastAsia="宋体" w:hAnsi="Arial" w:cs="Arial"/>
                <w:color w:val="000000"/>
                <w:kern w:val="0"/>
                <w:sz w:val="24"/>
                <w:szCs w:val="24"/>
              </w:rPr>
              <w:br/>
              <w:t>90.8</w:t>
            </w:r>
          </w:p>
        </w:tc>
        <w:tc>
          <w:tcPr>
            <w:tcW w:w="1111"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16100</w:t>
            </w:r>
            <w:r w:rsidRPr="00933F82">
              <w:rPr>
                <w:rFonts w:ascii="Arial" w:eastAsia="宋体" w:hAnsi="Arial" w:cs="Arial"/>
                <w:color w:val="000000"/>
                <w:kern w:val="0"/>
                <w:sz w:val="24"/>
                <w:szCs w:val="24"/>
              </w:rPr>
              <w:br/>
              <w:t>93.0</w:t>
            </w:r>
          </w:p>
        </w:tc>
        <w:tc>
          <w:tcPr>
            <w:tcW w:w="1111"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16500</w:t>
            </w:r>
            <w:r w:rsidRPr="00933F82">
              <w:rPr>
                <w:rFonts w:ascii="Arial" w:eastAsia="宋体" w:hAnsi="Arial" w:cs="Arial"/>
                <w:color w:val="000000"/>
                <w:kern w:val="0"/>
                <w:sz w:val="24"/>
                <w:szCs w:val="24"/>
              </w:rPr>
              <w:br/>
              <w:t>95.0</w:t>
            </w:r>
          </w:p>
        </w:tc>
      </w:tr>
      <w:tr w:rsidR="00933F82" w:rsidRPr="00933F82" w:rsidTr="00933F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高中阶段教育</w:t>
            </w:r>
            <w:r w:rsidRPr="00933F82">
              <w:rPr>
                <w:rFonts w:ascii="Arial" w:eastAsia="宋体" w:hAnsi="Arial" w:cs="Arial"/>
                <w:b w:val="0"/>
                <w:color w:val="000000"/>
                <w:kern w:val="0"/>
                <w:sz w:val="24"/>
                <w:szCs w:val="24"/>
              </w:rPr>
              <w:t>*</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在校生</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毛入学率</w:t>
            </w:r>
          </w:p>
        </w:tc>
        <w:tc>
          <w:tcPr>
            <w:tcW w:w="1134"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t>%</w:t>
            </w:r>
          </w:p>
        </w:tc>
        <w:tc>
          <w:tcPr>
            <w:tcW w:w="1110"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4624</w:t>
            </w:r>
            <w:r w:rsidRPr="00933F82">
              <w:rPr>
                <w:rFonts w:ascii="Arial" w:eastAsia="宋体" w:hAnsi="Arial" w:cs="Arial"/>
                <w:color w:val="000000"/>
                <w:kern w:val="0"/>
                <w:sz w:val="24"/>
                <w:szCs w:val="24"/>
              </w:rPr>
              <w:br/>
              <w:t>79.2</w:t>
            </w:r>
          </w:p>
        </w:tc>
        <w:tc>
          <w:tcPr>
            <w:tcW w:w="1111"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4500</w:t>
            </w:r>
            <w:r w:rsidRPr="00933F82">
              <w:rPr>
                <w:rFonts w:ascii="Arial" w:eastAsia="宋体" w:hAnsi="Arial" w:cs="Arial"/>
                <w:color w:val="000000"/>
                <w:kern w:val="0"/>
                <w:sz w:val="24"/>
                <w:szCs w:val="24"/>
              </w:rPr>
              <w:br/>
              <w:t>87.0</w:t>
            </w:r>
          </w:p>
        </w:tc>
        <w:tc>
          <w:tcPr>
            <w:tcW w:w="1111"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4700</w:t>
            </w:r>
            <w:r w:rsidRPr="00933F82">
              <w:rPr>
                <w:rFonts w:ascii="Arial" w:eastAsia="宋体" w:hAnsi="Arial" w:cs="Arial"/>
                <w:color w:val="000000"/>
                <w:kern w:val="0"/>
                <w:sz w:val="24"/>
                <w:szCs w:val="24"/>
              </w:rPr>
              <w:br/>
              <w:t>90.0</w:t>
            </w:r>
          </w:p>
        </w:tc>
      </w:tr>
      <w:tr w:rsidR="00933F82" w:rsidRPr="00933F82" w:rsidTr="00933F82">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职业教育</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中等职业教育在校生</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高等职业教育在校生</w:t>
            </w:r>
          </w:p>
        </w:tc>
        <w:tc>
          <w:tcPr>
            <w:tcW w:w="1134"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p>
        </w:tc>
        <w:tc>
          <w:tcPr>
            <w:tcW w:w="1110"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2179</w:t>
            </w:r>
            <w:r w:rsidRPr="00933F82">
              <w:rPr>
                <w:rFonts w:ascii="Arial" w:eastAsia="宋体" w:hAnsi="Arial" w:cs="Arial"/>
                <w:color w:val="000000"/>
                <w:kern w:val="0"/>
                <w:sz w:val="24"/>
                <w:szCs w:val="24"/>
              </w:rPr>
              <w:br/>
              <w:t>1280</w:t>
            </w:r>
          </w:p>
        </w:tc>
        <w:tc>
          <w:tcPr>
            <w:tcW w:w="1111"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2250</w:t>
            </w:r>
            <w:r w:rsidRPr="00933F82">
              <w:rPr>
                <w:rFonts w:ascii="Arial" w:eastAsia="宋体" w:hAnsi="Arial" w:cs="Arial"/>
                <w:color w:val="000000"/>
                <w:kern w:val="0"/>
                <w:sz w:val="24"/>
                <w:szCs w:val="24"/>
              </w:rPr>
              <w:br/>
              <w:t>1390</w:t>
            </w:r>
          </w:p>
        </w:tc>
        <w:tc>
          <w:tcPr>
            <w:tcW w:w="1111"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2350</w:t>
            </w:r>
            <w:r w:rsidRPr="00933F82">
              <w:rPr>
                <w:rFonts w:ascii="Arial" w:eastAsia="宋体" w:hAnsi="Arial" w:cs="Arial"/>
                <w:color w:val="000000"/>
                <w:kern w:val="0"/>
                <w:sz w:val="24"/>
                <w:szCs w:val="24"/>
              </w:rPr>
              <w:br/>
              <w:t>1480</w:t>
            </w:r>
          </w:p>
        </w:tc>
      </w:tr>
      <w:tr w:rsidR="00933F82" w:rsidRPr="00933F82" w:rsidTr="00933F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高等教育</w:t>
            </w:r>
            <w:r w:rsidRPr="00933F82">
              <w:rPr>
                <w:rFonts w:ascii="Arial" w:eastAsia="宋体" w:hAnsi="Arial" w:cs="Arial"/>
                <w:b w:val="0"/>
                <w:color w:val="000000"/>
                <w:kern w:val="0"/>
                <w:sz w:val="24"/>
                <w:szCs w:val="24"/>
              </w:rPr>
              <w:t>**</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在学总规模</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在校生</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其中：研究生</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毛入学率</w:t>
            </w:r>
          </w:p>
        </w:tc>
        <w:tc>
          <w:tcPr>
            <w:tcW w:w="1134"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w:t>
            </w:r>
            <w:r w:rsidRPr="00933F82">
              <w:rPr>
                <w:rFonts w:ascii="Arial" w:eastAsia="宋体" w:hAnsi="Arial" w:cs="Arial"/>
                <w:color w:val="000000"/>
                <w:kern w:val="0"/>
                <w:sz w:val="24"/>
                <w:szCs w:val="24"/>
              </w:rPr>
              <w:br/>
              <w:t>%</w:t>
            </w:r>
          </w:p>
        </w:tc>
        <w:tc>
          <w:tcPr>
            <w:tcW w:w="1110"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2979</w:t>
            </w:r>
            <w:r w:rsidRPr="00933F82">
              <w:rPr>
                <w:rFonts w:ascii="Arial" w:eastAsia="宋体" w:hAnsi="Arial" w:cs="Arial"/>
                <w:color w:val="000000"/>
                <w:kern w:val="0"/>
                <w:sz w:val="24"/>
                <w:szCs w:val="24"/>
              </w:rPr>
              <w:br/>
              <w:t>2826</w:t>
            </w:r>
            <w:r w:rsidRPr="00933F82">
              <w:rPr>
                <w:rFonts w:ascii="Arial" w:eastAsia="宋体" w:hAnsi="Arial" w:cs="Arial"/>
                <w:color w:val="000000"/>
                <w:kern w:val="0"/>
                <w:sz w:val="24"/>
                <w:szCs w:val="24"/>
              </w:rPr>
              <w:br/>
              <w:t>140</w:t>
            </w:r>
            <w:r w:rsidRPr="00933F82">
              <w:rPr>
                <w:rFonts w:ascii="Arial" w:eastAsia="宋体" w:hAnsi="Arial" w:cs="Arial"/>
                <w:color w:val="000000"/>
                <w:kern w:val="0"/>
                <w:sz w:val="24"/>
                <w:szCs w:val="24"/>
              </w:rPr>
              <w:br/>
              <w:t>24.2</w:t>
            </w:r>
          </w:p>
        </w:tc>
        <w:tc>
          <w:tcPr>
            <w:tcW w:w="1111"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3350</w:t>
            </w:r>
            <w:r w:rsidRPr="00933F82">
              <w:rPr>
                <w:rFonts w:ascii="Arial" w:eastAsia="宋体" w:hAnsi="Arial" w:cs="Arial"/>
                <w:color w:val="000000"/>
                <w:kern w:val="0"/>
                <w:sz w:val="24"/>
                <w:szCs w:val="24"/>
              </w:rPr>
              <w:br/>
              <w:t>3080</w:t>
            </w:r>
            <w:r w:rsidRPr="00933F82">
              <w:rPr>
                <w:rFonts w:ascii="Arial" w:eastAsia="宋体" w:hAnsi="Arial" w:cs="Arial"/>
                <w:color w:val="000000"/>
                <w:kern w:val="0"/>
                <w:sz w:val="24"/>
                <w:szCs w:val="24"/>
              </w:rPr>
              <w:br/>
              <w:t>170</w:t>
            </w:r>
            <w:r w:rsidRPr="00933F82">
              <w:rPr>
                <w:rFonts w:ascii="Arial" w:eastAsia="宋体" w:hAnsi="Arial" w:cs="Arial"/>
                <w:color w:val="000000"/>
                <w:kern w:val="0"/>
                <w:sz w:val="24"/>
                <w:szCs w:val="24"/>
              </w:rPr>
              <w:br/>
              <w:t>36.0</w:t>
            </w:r>
          </w:p>
        </w:tc>
        <w:tc>
          <w:tcPr>
            <w:tcW w:w="1111" w:type="dxa"/>
            <w:shd w:val="clear" w:color="auto" w:fill="auto"/>
            <w:hideMark/>
          </w:tcPr>
          <w:p w:rsidR="00933F82" w:rsidRPr="00933F82" w:rsidRDefault="00933F82" w:rsidP="0036352F">
            <w:pPr>
              <w:widowControl/>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3550</w:t>
            </w:r>
            <w:r w:rsidRPr="00933F82">
              <w:rPr>
                <w:rFonts w:ascii="Arial" w:eastAsia="宋体" w:hAnsi="Arial" w:cs="Arial"/>
                <w:color w:val="000000"/>
                <w:kern w:val="0"/>
                <w:sz w:val="24"/>
                <w:szCs w:val="24"/>
              </w:rPr>
              <w:br/>
              <w:t>3300</w:t>
            </w:r>
            <w:r w:rsidRPr="00933F82">
              <w:rPr>
                <w:rFonts w:ascii="Arial" w:eastAsia="宋体" w:hAnsi="Arial" w:cs="Arial"/>
                <w:color w:val="000000"/>
                <w:kern w:val="0"/>
                <w:sz w:val="24"/>
                <w:szCs w:val="24"/>
              </w:rPr>
              <w:br/>
              <w:t>200</w:t>
            </w:r>
            <w:r w:rsidRPr="00933F82">
              <w:rPr>
                <w:rFonts w:ascii="Arial" w:eastAsia="宋体" w:hAnsi="Arial" w:cs="Arial"/>
                <w:color w:val="000000"/>
                <w:kern w:val="0"/>
                <w:sz w:val="24"/>
                <w:szCs w:val="24"/>
              </w:rPr>
              <w:br/>
              <w:t>40.0</w:t>
            </w:r>
          </w:p>
        </w:tc>
      </w:tr>
      <w:tr w:rsidR="00933F82" w:rsidRPr="00933F82" w:rsidTr="00933F82">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rsidR="00933F82" w:rsidRPr="00933F82" w:rsidRDefault="00933F82" w:rsidP="0036352F">
            <w:pPr>
              <w:widowControl/>
              <w:rPr>
                <w:rFonts w:ascii="Arial" w:eastAsia="宋体" w:hAnsi="Arial" w:cs="Arial"/>
                <w:b w:val="0"/>
                <w:color w:val="000000"/>
                <w:kern w:val="0"/>
                <w:sz w:val="24"/>
                <w:szCs w:val="24"/>
              </w:rPr>
            </w:pPr>
            <w:r w:rsidRPr="00933F82">
              <w:rPr>
                <w:rFonts w:ascii="Arial" w:eastAsia="宋体" w:hAnsi="Arial" w:cs="Arial"/>
                <w:b w:val="0"/>
                <w:color w:val="000000"/>
                <w:kern w:val="0"/>
                <w:sz w:val="24"/>
                <w:szCs w:val="24"/>
              </w:rPr>
              <w:t>继续教育</w:t>
            </w:r>
            <w:r w:rsidRPr="00933F82">
              <w:rPr>
                <w:rFonts w:ascii="Arial" w:eastAsia="宋体" w:hAnsi="Arial" w:cs="Arial"/>
                <w:b w:val="0"/>
                <w:color w:val="000000"/>
                <w:kern w:val="0"/>
                <w:sz w:val="24"/>
                <w:szCs w:val="24"/>
              </w:rPr>
              <w:br/>
            </w:r>
            <w:r w:rsidRPr="00933F82">
              <w:rPr>
                <w:rFonts w:ascii="Arial" w:eastAsia="宋体" w:hAnsi="Arial" w:cs="Arial"/>
                <w:b w:val="0"/>
                <w:color w:val="000000"/>
                <w:kern w:val="0"/>
                <w:sz w:val="24"/>
                <w:szCs w:val="24"/>
              </w:rPr>
              <w:t>从业人员继续教育</w:t>
            </w:r>
          </w:p>
        </w:tc>
        <w:tc>
          <w:tcPr>
            <w:tcW w:w="1134"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万人次</w:t>
            </w:r>
          </w:p>
        </w:tc>
        <w:tc>
          <w:tcPr>
            <w:tcW w:w="1110"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16600</w:t>
            </w:r>
          </w:p>
        </w:tc>
        <w:tc>
          <w:tcPr>
            <w:tcW w:w="1111"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br/>
              <w:t>29000</w:t>
            </w:r>
          </w:p>
        </w:tc>
        <w:tc>
          <w:tcPr>
            <w:tcW w:w="1111" w:type="dxa"/>
            <w:shd w:val="clear" w:color="auto" w:fill="auto"/>
            <w:hideMark/>
          </w:tcPr>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p>
          <w:p w:rsidR="00933F82" w:rsidRPr="00933F82" w:rsidRDefault="00933F82" w:rsidP="0036352F">
            <w:pPr>
              <w:widowControl/>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kern w:val="0"/>
                <w:sz w:val="24"/>
                <w:szCs w:val="24"/>
              </w:rPr>
            </w:pPr>
            <w:r w:rsidRPr="00933F82">
              <w:rPr>
                <w:rFonts w:ascii="Arial" w:eastAsia="宋体" w:hAnsi="Arial" w:cs="Arial"/>
                <w:color w:val="000000"/>
                <w:kern w:val="0"/>
                <w:sz w:val="24"/>
                <w:szCs w:val="24"/>
              </w:rPr>
              <w:t>35000</w:t>
            </w:r>
          </w:p>
        </w:tc>
      </w:tr>
    </w:tbl>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注：</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含中等职业教育学生数；</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含高等职业教育学生数。</w:t>
      </w:r>
    </w:p>
    <w:p w:rsidR="00933F82" w:rsidRPr="00933F82" w:rsidRDefault="00933F82" w:rsidP="0036352F">
      <w:pPr>
        <w:widowControl/>
        <w:spacing w:beforeLines="50" w:before="156" w:afterLines="50" w:after="156" w:line="480" w:lineRule="exact"/>
        <w:jc w:val="center"/>
        <w:rPr>
          <w:rFonts w:ascii="Arial" w:eastAsia="宋体" w:hAnsi="Arial" w:cs="Arial"/>
          <w:color w:val="000000"/>
          <w:kern w:val="0"/>
          <w:sz w:val="24"/>
          <w:szCs w:val="24"/>
        </w:rPr>
      </w:pPr>
      <w:r w:rsidRPr="00933F82">
        <w:rPr>
          <w:rFonts w:ascii="Arial" w:eastAsia="宋体" w:hAnsi="Arial" w:cs="Arial"/>
          <w:color w:val="000000"/>
          <w:kern w:val="0"/>
          <w:sz w:val="24"/>
          <w:szCs w:val="24"/>
        </w:rPr>
        <w:t>专栏</w:t>
      </w:r>
      <w:r w:rsidRPr="00933F82">
        <w:rPr>
          <w:rFonts w:ascii="Arial" w:eastAsia="宋体" w:hAnsi="Arial" w:cs="Arial"/>
          <w:color w:val="000000"/>
          <w:kern w:val="0"/>
          <w:sz w:val="24"/>
          <w:szCs w:val="24"/>
        </w:rPr>
        <w:t>2</w:t>
      </w:r>
      <w:r w:rsidRPr="00933F82">
        <w:rPr>
          <w:rFonts w:ascii="Arial" w:eastAsia="宋体" w:hAnsi="Arial" w:cs="Arial"/>
          <w:color w:val="000000"/>
          <w:kern w:val="0"/>
          <w:sz w:val="24"/>
          <w:szCs w:val="24"/>
        </w:rPr>
        <w:t>：人力资源开发主要目标</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992"/>
        <w:gridCol w:w="1276"/>
        <w:gridCol w:w="1275"/>
        <w:gridCol w:w="1276"/>
      </w:tblGrid>
      <w:tr w:rsidR="00933F82" w:rsidRPr="00933F82" w:rsidTr="00933F82">
        <w:trPr>
          <w:jc w:val="center"/>
        </w:trPr>
        <w:tc>
          <w:tcPr>
            <w:tcW w:w="4390"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指标</w:t>
            </w:r>
          </w:p>
        </w:tc>
        <w:tc>
          <w:tcPr>
            <w:tcW w:w="992"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单位</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2009</w:t>
            </w:r>
            <w:r w:rsidRPr="00933F82">
              <w:rPr>
                <w:rFonts w:ascii="Arial" w:eastAsia="宋体" w:hAnsi="Arial" w:cs="Arial"/>
                <w:color w:val="000000"/>
                <w:kern w:val="0"/>
                <w:sz w:val="24"/>
                <w:szCs w:val="24"/>
              </w:rPr>
              <w:t>年</w:t>
            </w:r>
          </w:p>
        </w:tc>
        <w:tc>
          <w:tcPr>
            <w:tcW w:w="1275"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2015</w:t>
            </w:r>
            <w:r w:rsidRPr="00933F82">
              <w:rPr>
                <w:rFonts w:ascii="Arial" w:eastAsia="宋体" w:hAnsi="Arial" w:cs="Arial"/>
                <w:color w:val="000000"/>
                <w:kern w:val="0"/>
                <w:sz w:val="24"/>
                <w:szCs w:val="24"/>
              </w:rPr>
              <w:t>年</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w:t>
            </w:r>
          </w:p>
        </w:tc>
      </w:tr>
      <w:tr w:rsidR="00933F82" w:rsidRPr="00933F82" w:rsidTr="00933F82">
        <w:trPr>
          <w:jc w:val="center"/>
        </w:trPr>
        <w:tc>
          <w:tcPr>
            <w:tcW w:w="4390"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具有高等教育文化程度的人数</w:t>
            </w:r>
          </w:p>
        </w:tc>
        <w:tc>
          <w:tcPr>
            <w:tcW w:w="992"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万人</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9830</w:t>
            </w:r>
          </w:p>
        </w:tc>
        <w:tc>
          <w:tcPr>
            <w:tcW w:w="1275"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14500</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19500</w:t>
            </w:r>
          </w:p>
        </w:tc>
      </w:tr>
      <w:tr w:rsidR="00933F82" w:rsidRPr="00933F82" w:rsidTr="00933F82">
        <w:trPr>
          <w:jc w:val="center"/>
        </w:trPr>
        <w:tc>
          <w:tcPr>
            <w:tcW w:w="4390"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主要劳动年龄人口平均受教育年限</w:t>
            </w: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其中：受过高等教育的比例</w:t>
            </w:r>
          </w:p>
        </w:tc>
        <w:tc>
          <w:tcPr>
            <w:tcW w:w="992"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年</w:t>
            </w:r>
            <w:r w:rsidRPr="00933F82">
              <w:rPr>
                <w:rFonts w:ascii="Arial" w:eastAsia="宋体" w:hAnsi="Arial" w:cs="Arial"/>
                <w:color w:val="000000"/>
                <w:kern w:val="0"/>
                <w:sz w:val="24"/>
                <w:szCs w:val="24"/>
              </w:rPr>
              <w:br/>
              <w:t>%</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9.5</w:t>
            </w:r>
            <w:r w:rsidRPr="00933F82">
              <w:rPr>
                <w:rFonts w:ascii="Arial" w:eastAsia="宋体" w:hAnsi="Arial" w:cs="Arial"/>
                <w:color w:val="000000"/>
                <w:kern w:val="0"/>
                <w:sz w:val="24"/>
                <w:szCs w:val="24"/>
              </w:rPr>
              <w:br/>
              <w:t>9.9</w:t>
            </w:r>
          </w:p>
        </w:tc>
        <w:tc>
          <w:tcPr>
            <w:tcW w:w="1275"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10.5</w:t>
            </w:r>
            <w:r w:rsidRPr="00933F82">
              <w:rPr>
                <w:rFonts w:ascii="Arial" w:eastAsia="宋体" w:hAnsi="Arial" w:cs="Arial"/>
                <w:color w:val="000000"/>
                <w:kern w:val="0"/>
                <w:sz w:val="24"/>
                <w:szCs w:val="24"/>
              </w:rPr>
              <w:br/>
              <w:t>15.0</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11.2</w:t>
            </w:r>
            <w:r w:rsidRPr="00933F82">
              <w:rPr>
                <w:rFonts w:ascii="Arial" w:eastAsia="宋体" w:hAnsi="Arial" w:cs="Arial"/>
                <w:color w:val="000000"/>
                <w:kern w:val="0"/>
                <w:sz w:val="24"/>
                <w:szCs w:val="24"/>
              </w:rPr>
              <w:br/>
              <w:t>20.0</w:t>
            </w:r>
          </w:p>
        </w:tc>
      </w:tr>
      <w:tr w:rsidR="00933F82" w:rsidRPr="00933F82" w:rsidTr="00933F82">
        <w:trPr>
          <w:jc w:val="center"/>
        </w:trPr>
        <w:tc>
          <w:tcPr>
            <w:tcW w:w="4390"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新增劳动力平均受教育年限</w:t>
            </w:r>
            <w:r w:rsidRPr="00933F82">
              <w:rPr>
                <w:rFonts w:ascii="Arial" w:eastAsia="宋体" w:hAnsi="Arial" w:cs="Arial"/>
                <w:color w:val="000000"/>
                <w:kern w:val="0"/>
                <w:sz w:val="24"/>
                <w:szCs w:val="24"/>
              </w:rPr>
              <w:br/>
            </w:r>
            <w:r w:rsidRPr="00933F82">
              <w:rPr>
                <w:rFonts w:ascii="Arial" w:eastAsia="宋体" w:hAnsi="Arial" w:cs="Arial"/>
                <w:color w:val="000000"/>
                <w:kern w:val="0"/>
                <w:sz w:val="24"/>
                <w:szCs w:val="24"/>
              </w:rPr>
              <w:t>其中：受过高中阶段及以上教育的比例</w:t>
            </w:r>
          </w:p>
        </w:tc>
        <w:tc>
          <w:tcPr>
            <w:tcW w:w="992"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年</w:t>
            </w:r>
            <w:r w:rsidRPr="00933F82">
              <w:rPr>
                <w:rFonts w:ascii="Arial" w:eastAsia="宋体" w:hAnsi="Arial" w:cs="Arial"/>
                <w:color w:val="000000"/>
                <w:kern w:val="0"/>
                <w:sz w:val="24"/>
                <w:szCs w:val="24"/>
              </w:rPr>
              <w:br/>
              <w:t>%</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12.4</w:t>
            </w:r>
            <w:r w:rsidRPr="00933F82">
              <w:rPr>
                <w:rFonts w:ascii="Arial" w:eastAsia="宋体" w:hAnsi="Arial" w:cs="Arial"/>
                <w:color w:val="000000"/>
                <w:kern w:val="0"/>
                <w:sz w:val="24"/>
                <w:szCs w:val="24"/>
              </w:rPr>
              <w:br/>
              <w:t>67.0</w:t>
            </w:r>
          </w:p>
        </w:tc>
        <w:tc>
          <w:tcPr>
            <w:tcW w:w="1275"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13.3</w:t>
            </w:r>
            <w:r w:rsidRPr="00933F82">
              <w:rPr>
                <w:rFonts w:ascii="Arial" w:eastAsia="宋体" w:hAnsi="Arial" w:cs="Arial"/>
                <w:color w:val="000000"/>
                <w:kern w:val="0"/>
                <w:sz w:val="24"/>
                <w:szCs w:val="24"/>
              </w:rPr>
              <w:br/>
              <w:t>87.0</w:t>
            </w:r>
          </w:p>
        </w:tc>
        <w:tc>
          <w:tcPr>
            <w:tcW w:w="1276" w:type="dxa"/>
            <w:tcMar>
              <w:top w:w="75" w:type="dxa"/>
              <w:left w:w="150" w:type="dxa"/>
              <w:bottom w:w="75" w:type="dxa"/>
              <w:right w:w="150" w:type="dxa"/>
            </w:tcMar>
            <w:vAlign w:val="center"/>
            <w:hideMark/>
          </w:tcPr>
          <w:p w:rsidR="00933F82" w:rsidRPr="00933F82" w:rsidRDefault="00933F82" w:rsidP="0036352F">
            <w:pPr>
              <w:widowControl/>
              <w:rPr>
                <w:rFonts w:ascii="Arial" w:eastAsia="宋体" w:hAnsi="Arial" w:cs="Arial"/>
                <w:color w:val="000000"/>
                <w:kern w:val="0"/>
                <w:sz w:val="24"/>
                <w:szCs w:val="24"/>
              </w:rPr>
            </w:pPr>
            <w:r w:rsidRPr="00933F82">
              <w:rPr>
                <w:rFonts w:ascii="Arial" w:eastAsia="宋体" w:hAnsi="Arial" w:cs="Arial"/>
                <w:color w:val="000000"/>
                <w:kern w:val="0"/>
                <w:sz w:val="24"/>
                <w:szCs w:val="24"/>
              </w:rPr>
              <w:t>13.5</w:t>
            </w:r>
            <w:r w:rsidRPr="00933F82">
              <w:rPr>
                <w:rFonts w:ascii="Arial" w:eastAsia="宋体" w:hAnsi="Arial" w:cs="Arial"/>
                <w:color w:val="000000"/>
                <w:kern w:val="0"/>
                <w:sz w:val="24"/>
                <w:szCs w:val="24"/>
              </w:rPr>
              <w:br/>
              <w:t>90.0</w:t>
            </w:r>
          </w:p>
        </w:tc>
      </w:tr>
    </w:tbl>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lastRenderedPageBreak/>
        <w:t>第二部分</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发展任务</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第三章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学前教育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（五）基本普及学前教育。学前教育对幼儿身心健康、习惯养成、智力发展具有重要意义。遵循幼儿身心发展规律，坚持科学保教方法，保障幼儿快乐健康成长。积极发展学前教育，到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年，普及学前一年教育，基本普及学前两年教育，有条件的地区普及学前三年教育。重视</w:t>
      </w:r>
      <w:r w:rsidRPr="00933F82">
        <w:rPr>
          <w:rFonts w:ascii="Arial" w:eastAsia="宋体" w:hAnsi="Arial" w:cs="Arial"/>
          <w:color w:val="000000"/>
          <w:kern w:val="0"/>
          <w:sz w:val="24"/>
          <w:szCs w:val="24"/>
        </w:rPr>
        <w:t>0</w:t>
      </w:r>
      <w:r w:rsidRPr="00933F82">
        <w:rPr>
          <w:rFonts w:ascii="Arial" w:eastAsia="宋体" w:hAnsi="Arial" w:cs="Arial"/>
          <w:color w:val="000000"/>
          <w:kern w:val="0"/>
          <w:sz w:val="24"/>
          <w:szCs w:val="24"/>
        </w:rPr>
        <w:t>至</w:t>
      </w:r>
      <w:r w:rsidRPr="00933F82">
        <w:rPr>
          <w:rFonts w:ascii="Arial" w:eastAsia="宋体" w:hAnsi="Arial" w:cs="Arial"/>
          <w:color w:val="000000"/>
          <w:kern w:val="0"/>
          <w:sz w:val="24"/>
          <w:szCs w:val="24"/>
        </w:rPr>
        <w:t>3</w:t>
      </w:r>
      <w:r w:rsidRPr="00933F82">
        <w:rPr>
          <w:rFonts w:ascii="Arial" w:eastAsia="宋体" w:hAnsi="Arial" w:cs="Arial"/>
          <w:color w:val="000000"/>
          <w:kern w:val="0"/>
          <w:sz w:val="24"/>
          <w:szCs w:val="24"/>
        </w:rPr>
        <w:t>岁婴幼儿教育。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七）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第四章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义务教育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八）巩固提高九年义务教育水平。义务教育是国家依法统一实施、所有适龄儿童少年必须接受的教育，具有强制性、免费性和普及性，是教育工作的重中之重。注重品行培养，激发学习兴趣，培育健康体魄，养成良好习惯。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年，全面提高普及水平，全面提高教育质量，基本实现区域内均衡发展，确保适龄儿童少年接受良好义务教育。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巩固义务教育普及成果。适应城乡发展需要，合理规划学校布局，办好必要的教学点，方便学生就近入学。坚持以输入地政府管理为主、以全日制公办中小</w:t>
      </w:r>
      <w:r w:rsidRPr="00933F82">
        <w:rPr>
          <w:rFonts w:ascii="Arial" w:eastAsia="宋体" w:hAnsi="Arial" w:cs="Arial"/>
          <w:color w:val="000000"/>
          <w:kern w:val="0"/>
          <w:sz w:val="24"/>
          <w:szCs w:val="24"/>
        </w:rPr>
        <w:lastRenderedPageBreak/>
        <w:t>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增强学生体质。科学安排学习、生活、锻炼，保证学生睡眠时间。大力开展</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阳光体育</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运动，保证学生每天锻炼一小时，不断提高学生体质健康水平。提倡合理膳食，改善学生营养状况，提高贫困地区农村学生营养水平。保护学生视力。</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（九）推进义务教育均衡发展。均衡发展是义务教育的战略性任务。建立健全义务教育均衡发展保障机制。推进义务教育学校标准化建设，均衡配置教师、设备、图书、校舍等资源。</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加快缩小城乡差距。建立城乡一体化义务教育发展机制，在财政拨款、学校建设、教师配置等方面向农村倾斜。率先在县（区）域内实现城乡均衡发展，逐步在更大范围内推进。</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努力缩小区域差距。加大对革命老区、民族地区、边疆地区、贫困地区义务教育的转移支付力度。鼓励发达地区支援欠发达地区。</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十）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各级政府要把减负作为教育工作的重要任务，统筹规划，整体推进。调整教材内容，科学设计课程难度。改革考试评价制度和学校考核办法。规范办学行为，建立学生课业负担监测和公告制度。不得以升学率对地区和学校进行排名，不得下达升学指标。规范各种社会补习机构和教辅市场。加强校外活动场所建设和管理，丰富学生课外及校外活动。</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充分发挥家庭教育在儿童少年成长过程中的重要作用。家长要树立正确的教育观念，掌握科学的教育方法，尊重子女的健康情趣，培养子女的良好习惯，加强与学校的沟通配合，共同减轻学生课业负担。</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第五章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高中阶段教育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一）加快普及高中阶段教育。高中阶段教育是学生个性形成、自主发展的关键时期，对提高国民素质和培养创新人才具有特殊意义。注重培养学生自主学习、自强自立和适应社会的能力，克服应试教育倾向。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年，普及高中阶段教育，满足初中毕业生接受高中阶段教育需求。</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根据经济社会发展需要，合理确定普通高中和中等职业学校招生比例，今后一个时期总体保持普通高中和中等职业学校招生规模大体相当。加大对中西部贫困地区高中阶段教育的扶持力度。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十二）全面提高普通高中学生综合素质。深入推进课程改革，全面落实课程方案，保证学生全面完成国家规定的文理等各门课程的学习。创造条件开设丰富多彩的选修课，为学生提供更多选择，促进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三）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第六章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职业教育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（十四）大力发展职业教育。发展职业教育是推动经济发展、促进就业、改善民生、解决</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三农</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问题的重要途径，是缓解劳动力供求结构矛盾的关键环节，必须摆在更加突出的位置。职业教育要面向人人、面向社会，着力培养学生的职业道德、职业技能和就业创业能力。到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形成适应经济发展方式转变和产业结构调整要求、体现终身教育理念、中等和高等职业教育协调发展的现代职业教育体系，满足人民群众接受职业教育的需求，满足经济社会对高素质劳动者和技能型人才的需要。</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把提高质量作为重点。以服务为宗旨，以就业为导向，推进教育教学改革。实行工学结合、校企合作、顶岗实习的人才培养模式。坚持学校教育与职业培训并举，全日制与非全日制并重。制定职业学校基本办学标准。加强</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双师型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教师队伍和实训基地建设，提升职业教育基础能力。建立健全技能型人才到职业学校从教的制度。完善符合职业教育特点的教师资格标准和专业技术职务（职称）评</w:t>
      </w:r>
      <w:r w:rsidRPr="00933F82">
        <w:rPr>
          <w:rFonts w:ascii="Arial" w:eastAsia="宋体" w:hAnsi="Arial" w:cs="Arial"/>
          <w:color w:val="000000"/>
          <w:kern w:val="0"/>
          <w:sz w:val="24"/>
          <w:szCs w:val="24"/>
        </w:rPr>
        <w:lastRenderedPageBreak/>
        <w:t>聘办法。建立健全职业教育质量保障体系，吸收企业参加教育质量评估。开展职业技能竞赛。</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五）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六）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三农</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（十七）增强职业教育吸引力。完善职业教育支持政策。逐步实行中等职业教育免费制度，完善家庭经济困难学生资助政策。改革招生和教学模式。积极推进学历证书和职业资格证书</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双证书</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制度，推进职业学校专业课程内容和职业标准相衔接。完善就业准入制度，执行</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先培训、后就业</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先培训、后上岗</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的规定。制定退役士兵接受职业教育培训的办法。建立健全职业教育课程衔接体系。鼓励毕业生在职继续学习，完善职业学校毕业生直接升学制度，拓宽毕业生继续学习渠道。提高技能型人才的社会地位和待遇。加大对有突出贡献高技能人才的宣传表彰力度，形成行行出状元的良好社会氛围。</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第七章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高等教育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（十八）全面提高高等教育质量。高等教育承担着培养高级专门人才、发展科学技术文化、促进社会主义现代化建设的重大任务。提高质量是高等教育发展的核心任务，是建设高等教育强国的基本要求。到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年，高等教育结构更加合理，特色更加鲜明，人才培养、科学研究和社会服务整体水平全面提升，建成</w:t>
      </w:r>
      <w:r w:rsidRPr="00933F82">
        <w:rPr>
          <w:rFonts w:ascii="Arial" w:eastAsia="宋体" w:hAnsi="Arial" w:cs="Arial"/>
          <w:color w:val="000000"/>
          <w:kern w:val="0"/>
          <w:sz w:val="24"/>
          <w:szCs w:val="24"/>
        </w:rPr>
        <w:lastRenderedPageBreak/>
        <w:t>一批国际知名、有特色、高水平的高等学校，若干所大学达到或接近世界一流大学水平，高等教育国际竞争力显著增强。</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十九）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高等学校本科教学质量与教学改革工程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。严格教学管理。健全教学质量保障体系，改进高校教学评估。充分调动学生学习积极性和主动性，激励学生刻苦学习，增强诚信意识，养成良好学风。</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大力推进研究生培养机制改革。建立以科学与工程技术研究为主导的导师责任制和导师项目资助制，推行产学研联合培养研究生的</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双导师制</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。实施</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研究生教育创新计划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。加强管理，不断提高研究生特别是博士生培养质量。</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提升科学研究水平。充分发挥高校在国家创新体系中的重要作用，鼓励高校在知识创新、技术创新、国防科技创新和区域创新中作出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高等学校哲学社会科学繁荣计划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一）增强社会服务能力。高校要牢固树立主动为社会服务的意识，全方位开展服务。推进产学研用结合，加快科技成果转化，规范校办产业发展。为社会成员提供继续教育服务。开展科学普及工作，提高公众科学素质和人文素质。</w:t>
      </w:r>
      <w:r w:rsidRPr="00933F82">
        <w:rPr>
          <w:rFonts w:ascii="Arial" w:eastAsia="宋体" w:hAnsi="Arial" w:cs="Arial"/>
          <w:color w:val="000000"/>
          <w:kern w:val="0"/>
          <w:sz w:val="24"/>
          <w:szCs w:val="24"/>
        </w:rPr>
        <w:lastRenderedPageBreak/>
        <w:t>积极推进文化传播，弘扬优秀传统文化，发展先进文化。积极参与决策咨询，主动开展前瞻性、对策性研究，充分发挥智囊团、思想库作用。鼓励师生开展志愿服务。</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二）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促进高校办出特色。建立高校分类体系，实行分类管理。发挥政策指导和资源配置的作用，引导高校合理定位，克服同质化倾向，形成各自的办学理念和风格，在不同层次、不同领域办出特色，争创一流。</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加快建设一流大学和一流学科。以重点学科建设为基础，继续实施</w:t>
      </w:r>
      <w:r w:rsidRPr="00933F82">
        <w:rPr>
          <w:rFonts w:ascii="Arial" w:eastAsia="宋体" w:hAnsi="Arial" w:cs="Arial"/>
          <w:color w:val="000000"/>
          <w:kern w:val="0"/>
          <w:sz w:val="24"/>
          <w:szCs w:val="24"/>
        </w:rPr>
        <w:t>“985</w:t>
      </w:r>
      <w:r w:rsidRPr="00933F82">
        <w:rPr>
          <w:rFonts w:ascii="Arial" w:eastAsia="宋体" w:hAnsi="Arial" w:cs="Arial"/>
          <w:color w:val="000000"/>
          <w:kern w:val="0"/>
          <w:sz w:val="24"/>
          <w:szCs w:val="24"/>
        </w:rPr>
        <w:t>工程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和优势学科创新平台建设，继续实施</w:t>
      </w:r>
      <w:r w:rsidRPr="00933F82">
        <w:rPr>
          <w:rFonts w:ascii="Arial" w:eastAsia="宋体" w:hAnsi="Arial" w:cs="Arial"/>
          <w:color w:val="000000"/>
          <w:kern w:val="0"/>
          <w:sz w:val="24"/>
          <w:szCs w:val="24"/>
        </w:rPr>
        <w:t>“211</w:t>
      </w:r>
      <w:r w:rsidRPr="00933F82">
        <w:rPr>
          <w:rFonts w:ascii="Arial" w:eastAsia="宋体" w:hAnsi="Arial" w:cs="Arial"/>
          <w:color w:val="000000"/>
          <w:kern w:val="0"/>
          <w:sz w:val="24"/>
          <w:szCs w:val="24"/>
        </w:rPr>
        <w:t>工程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第八章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继续教育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三）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w:t>
      </w:r>
      <w:r w:rsidRPr="00933F82">
        <w:rPr>
          <w:rFonts w:ascii="Arial" w:eastAsia="宋体" w:hAnsi="Arial" w:cs="Arial"/>
          <w:color w:val="000000"/>
          <w:kern w:val="0"/>
          <w:sz w:val="24"/>
          <w:szCs w:val="24"/>
        </w:rPr>
        <w:lastRenderedPageBreak/>
        <w:t>社区教育，加快各类学习型组织建设，基本形成全民学习、终身学习的学习型社会。</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四）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评聘、职业注册等人事管理制度的衔接。鼓励个人多种形式接受继续教育，支持用人单位为从业人员接受继续教育提供条件。加强继续教育监管和评估。</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五）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搭建终身学习</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立交桥</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促进各级各类教育纵向衔接、横向沟通，提供多次选择机会，满足个人多样化的学习和发展需要。健全宽进严出的学习制度，办好开放大学，改革和完善高等教育自学考试制度。建立继续教育学分积累与转换制度，实现不同类型学习成果的互认和衔接。</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第九章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民族教育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六）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（二十七）全面提高少数民族和民族地区教育发展水平。公共教育资源要向民族地区倾斜。中央和地方政府要进一步加大对民族教育支持力度。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特殊教育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二十八）关心和支持特殊教育。特殊教育是促进残疾人全面发展、帮助残疾人更好地融入社会的基本途径。各级政府要加快发展特殊教育，把特殊教育事业纳入当地经济社会发展规划，列入议事日程。全社会要关心支持特殊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提高残疾学生的综合素质。注重潜能开发和缺陷补偿，培养残疾学生积极面对人生、全面融入社会的意识和自尊、自信、自立、自强的精神。加强残疾学生职业技能和就业能力培养。</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（二十九）完善特殊教育体系。到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年，基本实现市（地）和</w:t>
      </w:r>
      <w:r w:rsidRPr="00933F82">
        <w:rPr>
          <w:rFonts w:ascii="Arial" w:eastAsia="宋体" w:hAnsi="Arial" w:cs="Arial"/>
          <w:color w:val="000000"/>
          <w:kern w:val="0"/>
          <w:sz w:val="24"/>
          <w:szCs w:val="24"/>
        </w:rPr>
        <w:t>30</w:t>
      </w:r>
      <w:r w:rsidRPr="00933F82">
        <w:rPr>
          <w:rFonts w:ascii="Arial" w:eastAsia="宋体" w:hAnsi="Arial" w:cs="Arial"/>
          <w:color w:val="000000"/>
          <w:kern w:val="0"/>
          <w:sz w:val="24"/>
          <w:szCs w:val="24"/>
        </w:rPr>
        <w:t>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健全特殊教育保障机制。国家制定特殊教育学校基本办学标准，地方政府制定学生人均公用经费标准。加大对特殊教育的投入力度。鼓励和支持接收残疾学生的普通学校为残疾学生创造学习生活条件。加强特殊教育师资队伍建设，采取措施落实特殊教育教师待遇。在优秀教师表彰中提高特殊教育教师比例。加大对家庭经济困难残疾学生的资助力度。逐步实施残疾学生高中阶段免费教育。</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第三部分</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体制改革</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第十一章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人才培养体制改革</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一）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才。树立多样化人才观念，尊重个人选择，鼓励个性发展，不拘一格培养人才。树立终身学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（三十二）创新人才培养模式。适应国家和社会发展需要，遵循教育规律和人才成长规律，深化教育教学改革，创新教育教学方法，探索多种培养方式，形成各类人才辈出、拔尖创新人才不断涌现的局面。</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注重学思结合。倡导启发式、探究式、讨论式、参与式教学，帮助学生学会学习。激发学生的好奇心，培养学生的兴趣爱好，营造独立思考、自由探索、勇于创新的良好环境。适应经济社会发展和科技进步的要求，推进课程改革，加强</w:t>
      </w:r>
      <w:r w:rsidRPr="00933F82">
        <w:rPr>
          <w:rFonts w:ascii="Arial" w:eastAsia="宋体" w:hAnsi="Arial" w:cs="Arial"/>
          <w:color w:val="000000"/>
          <w:kern w:val="0"/>
          <w:sz w:val="24"/>
          <w:szCs w:val="24"/>
        </w:rPr>
        <w:lastRenderedPageBreak/>
        <w:t>教材建设，建立健全教材质量监管制度。深入研究、确定不同教育阶段学生必须掌握的核心内容，形成教学内容更新机制。充分发挥现代信息技术作用，促进优质教学资源共享。</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注重因材施教。关注学生不同特点和个性差异，发展每一个学生的优势潜能。推进分层教学、走班制、学分制、导师制等教学管理制度改革。建立学习困难学生的帮助机制。改进优异学生培养方式，在跳级、转学、转换专业以及选修更高学段课程等方面给予支持和指导。健全公开、平等、竞争、择优的选拔方式，改进中学生升学推荐办法，创新研究生培养方法。探索高中阶段、高等学校拔尖学生培养模式。</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三）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第十二章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考试招生制度改革</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四）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w:t>
      </w:r>
      <w:r w:rsidRPr="00933F82">
        <w:rPr>
          <w:rFonts w:ascii="Arial" w:eastAsia="宋体" w:hAnsi="Arial" w:cs="Arial"/>
          <w:color w:val="000000"/>
          <w:kern w:val="0"/>
          <w:sz w:val="24"/>
          <w:szCs w:val="24"/>
        </w:rPr>
        <w:lastRenderedPageBreak/>
        <w:t>机构功能，提高服务能力和水平。成立国家教育考试指导委员会，研究制定考试改革方案，指导考试改革试点。</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五）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范优秀特长生录取程序与办法。中等职业学校实行自主招生或注册入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六）完善高等学校考试招生制度。深化考试内容和形式改革，着重考查综合素质和能力。以高等学校人才选拔要求和国家课程标准为依据，完善国家考试科目试题库，保证国家考试的科学性、导向性和规范性。探索有的科目一年多次考试的办法，探索实行社会化考试。</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作出突出贡献或具有特殊才能的人才，建立专门程序，破格录取。</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七）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考试招生法规建设，规范学校招生录取程序，清理并规范升学加分</w:t>
      </w:r>
      <w:r w:rsidRPr="00933F82">
        <w:rPr>
          <w:rFonts w:ascii="Arial" w:eastAsia="宋体" w:hAnsi="Arial" w:cs="Arial"/>
          <w:color w:val="000000"/>
          <w:kern w:val="0"/>
          <w:sz w:val="24"/>
          <w:szCs w:val="24"/>
        </w:rPr>
        <w:lastRenderedPageBreak/>
        <w:t>政策。强化考试安全责任，加强诚信制度建设，坚决防范和严肃查处考试招生舞弊行为。</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第十三章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建设现代学校制度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八）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三十九）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学校财产和经费。扩大普通高中及中等职业学校在办学模式、育人方式、资源配置、人事管理、合作办学、社区服务等方面的自主权。</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教授治学的有效途径，充分发挥教授在教学、学术研究和学校管理中的作用。加强教职工代表大会、学生代表大会建设，发挥群众团体的作用。</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加强章程建设。各类高校应依法制定章程，依照章程规定管理学校。尊重学术自由，营造宽松的学术环境。全面实行聘任制度和岗位管理制度。确立科学的考核评价和激励机制。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一）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rsidR="00933F82" w:rsidRPr="0036352F"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36352F">
        <w:rPr>
          <w:rFonts w:ascii="Arial" w:eastAsia="宋体" w:hAnsi="Arial" w:cs="Arial"/>
          <w:b/>
          <w:color w:val="000000"/>
          <w:kern w:val="0"/>
          <w:sz w:val="24"/>
          <w:szCs w:val="24"/>
        </w:rPr>
        <w:t>第十四章　办学体制改革</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二）深化办学体制改革。坚持教育公益性原则，健全政府主导、社会参与、办学主体多元、办学形式多样、充满生机活力的办学体制，形成以政府办学为主体、全社会积极参与、公办教育和民办教育共同发展的格局。调动全社会参与的积极性，进一步激发教育活力，满足人民群众多层次、多样化的教育需求。</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改进非义务教育公共服务提供方式，完善优惠政策，鼓励公平竞争，引导社会资金以多种方式进入教育领域。</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三）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健全公共财政对民办教育的扶持政策。政府委托民办学校承担有关教育和培训任务，拨付相应教育经费。县级以上人民政府可以根据本行政区域的具体情况设立专项资金，用于资助民办学校。国家对发展民办教育作出突出贡献的组织、学校和个人给予奖励和表彰。</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四）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第十五章　管理体制改革</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（四十五）健全统筹有力、权责明确的教育管理体制。以转变政府职能和简政放权为重点，深化教育管理体制改革，提高公共教育服务水平。明确各级政府</w:t>
      </w:r>
      <w:r w:rsidRPr="00933F82">
        <w:rPr>
          <w:rFonts w:ascii="Arial" w:eastAsia="宋体" w:hAnsi="Arial" w:cs="Arial"/>
          <w:color w:val="000000"/>
          <w:kern w:val="0"/>
          <w:sz w:val="24"/>
          <w:szCs w:val="24"/>
        </w:rPr>
        <w:lastRenderedPageBreak/>
        <w:t>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六）加强省级政府教育统筹。进一步加大省级政府对区域内各级各类教育的统筹。统筹管理义务教育，推进城乡义务教育均衡发展，依法落实发展义务教育的财政责任。促进普通高中和中等职业学校合理分布，加快普及高中阶段教育，重点扶持困难地区高中阶段教育发展。促进省域内职业教育协调发展和资源共享，支持行业、企业发展职业教育。完善以省级政府为主管理高等教育的体制，合理设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会发展的水平。支持和督促市（地）、县级政府履行职责，发展管理好当地各类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七）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提高政府决策的科学性和管理的有效性。规范决策程序，重大教育政策出台前要公开讨论，充分听取群众意见。成立教育咨询委员会，为教育改革和发展提供咨询论证，提高重大教育决策的科学性。建立和完善国家教育基本标准。整合国家教育质量监测评估机构及资源，完善监测评估体系，定期发布监测评估报告。加强教育监督检查，完善教育问责机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培育专业教育服务机构。完善教育中介组织的准入、资助、监管和行业自律制度。积极发挥行业协会、专业学会、基金会等各类社会组织在教育公共治理中的作用。</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第十六章　扩大教育开放</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八）加强国际交流与合作。坚持以开放促改革、促发展。开展多层次、宽领域的教育交流与合作，提高我国教育国际化水平。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四十九）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吸引更多世界一流的专家学者来华从事教学、科研和管理工作，有计划地引进海外高端人才和学术团队。引进境外优秀教材，提高高等学校聘任外籍教师的比例。吸引海外优秀留学人员回国服务。</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提高交流合作水平。扩大政府间学历学位互认。支持中外大学间的教师互派、学生互换、学分互认和学位互授联授。加强与国外高水平大学合作，建立教学科研合作平台，联合推进高水平基础研究和高技术研究。加强中小学、职业学校对外交流与合作。加强国际理解教育，推动跨文化交流，增进学生对不同国家、不同文化的认识和理解。</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创新和完善公派出国留学机制，在全国公开选拔优秀学生进入国外高水平大学和研究机构学习。加强对自费出国留学的政策引导，加大对优秀自费留学生资助和奖励力度。坚持</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支持留学、鼓励回国、来去自由</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的方针，提高对留学人员的服务和管理水平。</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进一步扩大外国留学生规模。增加中国政府奖学金数量，重点资助发展中国家学生，优化来华留学人员结构。实施来华留学预备教育，增加高等学校外语授课的学科专业，不断提高来华留学教育质量。</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加强内地与港澳台地区的教育交流与合作。扩展交流内容，创新合作模式，促进教育事业共同发展。</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第四部分　保障措施</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第十七章　加强教师队伍建设</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一）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二）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为教师考核、聘任（聘用）和评价的首要内容。采取综合措施，建立长效机制，形成良好学术道德和学术风气，克服学术浮躁，查处学术不端行为。</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（五十三）提高教师业务水平。完善培养培训体系，做好培养培训规划，优化队伍结构，提高教师专业水平和教学能力。通过研修培训、学术交流、项目资</w:t>
      </w:r>
      <w:r w:rsidRPr="00933F82">
        <w:rPr>
          <w:rFonts w:ascii="Arial" w:eastAsia="宋体" w:hAnsi="Arial" w:cs="Arial"/>
          <w:color w:val="000000"/>
          <w:kern w:val="0"/>
          <w:sz w:val="24"/>
          <w:szCs w:val="24"/>
        </w:rPr>
        <w:lastRenderedPageBreak/>
        <w:t>助等方式，培养教育教学骨干、</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双师型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教师、学术带头人和校长，造就一批教学名师和学科领军人才。</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以</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双师型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教师为重点，加强职业院校教师队伍建设。加大职业院校教师培养培训力度。依托相关高等学校和大中型企业，共建</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双师型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教师培养培训基地。完善教师定期到企业实践制度。完善相关人事制度，聘任（聘用）具有实践经验的专业技术人员和高技能人才担任专兼职教师，提高持有专业技术资格证书和职业资格证书教师比例。</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实施海外高层次人才引进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长江学者奖励计划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和</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国家杰出青年科学基金</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等人才项目，为高校集聚具有国际影响的学科领军人才。</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四）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w:t>
      </w:r>
      <w:r w:rsidRPr="00933F82">
        <w:rPr>
          <w:rFonts w:ascii="Arial" w:eastAsia="宋体" w:hAnsi="Arial" w:cs="Arial"/>
          <w:color w:val="000000"/>
          <w:kern w:val="0"/>
          <w:sz w:val="24"/>
          <w:szCs w:val="24"/>
        </w:rPr>
        <w:lastRenderedPageBreak/>
        <w:t>改善教师工作和生活条件。关心教师身心健康。落实和完善教师医疗养老等社会保障政策。国家对在农村地区长期从教、贡献突出的教师给予奖励。</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五）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创造有利条件，鼓励教师和校长在实践中大胆探索，创新教育思想、教育模式和教育方法，形成教学特色和办学风格，造就一批教育家，倡导教育家办学。大力表彰和宣传模范教师的先进事迹。国家对作出突出贡献的教师和教育工作者设立荣誉称号。</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第十八章　保障经费投入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（五十六）加大教育投入。教育投入是支撑国家长远发展的基础性、战略性投资，是教育事业的物质基础，是公共财政的重要职能。要健全以政府投入为主、多渠道筹集教育经费的体制，大幅度增加教育投入。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w:t>
      </w:r>
      <w:r w:rsidRPr="00933F82">
        <w:rPr>
          <w:rFonts w:ascii="Arial" w:eastAsia="宋体" w:hAnsi="Arial" w:cs="Arial"/>
          <w:color w:val="000000"/>
          <w:kern w:val="0"/>
          <w:sz w:val="24"/>
          <w:szCs w:val="24"/>
        </w:rPr>
        <w:lastRenderedPageBreak/>
        <w:t>公用经费逐步增长。按增值税、营业税、消费税的</w:t>
      </w:r>
      <w:r w:rsidRPr="00933F82">
        <w:rPr>
          <w:rFonts w:ascii="Arial" w:eastAsia="宋体" w:hAnsi="Arial" w:cs="Arial"/>
          <w:color w:val="000000"/>
          <w:kern w:val="0"/>
          <w:sz w:val="24"/>
          <w:szCs w:val="24"/>
        </w:rPr>
        <w:t>3%</w:t>
      </w:r>
      <w:r w:rsidRPr="00933F82">
        <w:rPr>
          <w:rFonts w:ascii="Arial" w:eastAsia="宋体" w:hAnsi="Arial" w:cs="Arial"/>
          <w:color w:val="000000"/>
          <w:kern w:val="0"/>
          <w:sz w:val="24"/>
          <w:szCs w:val="24"/>
        </w:rPr>
        <w:t>足额征收教育费附加，专项用于教育事业。提高国家财政性教育经费支出占国内生产总值比例，</w:t>
      </w:r>
      <w:r w:rsidRPr="00933F82">
        <w:rPr>
          <w:rFonts w:ascii="Arial" w:eastAsia="宋体" w:hAnsi="Arial" w:cs="Arial"/>
          <w:color w:val="000000"/>
          <w:kern w:val="0"/>
          <w:sz w:val="24"/>
          <w:szCs w:val="24"/>
        </w:rPr>
        <w:t>2012</w:t>
      </w:r>
      <w:r w:rsidRPr="00933F82">
        <w:rPr>
          <w:rFonts w:ascii="Arial" w:eastAsia="宋体" w:hAnsi="Arial" w:cs="Arial"/>
          <w:color w:val="000000"/>
          <w:kern w:val="0"/>
          <w:sz w:val="24"/>
          <w:szCs w:val="24"/>
        </w:rPr>
        <w:t>年达到</w:t>
      </w:r>
      <w:r w:rsidRPr="00933F82">
        <w:rPr>
          <w:rFonts w:ascii="Arial" w:eastAsia="宋体" w:hAnsi="Arial" w:cs="Arial"/>
          <w:color w:val="000000"/>
          <w:kern w:val="0"/>
          <w:sz w:val="24"/>
          <w:szCs w:val="24"/>
        </w:rPr>
        <w:t>4%</w:t>
      </w:r>
      <w:r w:rsidRPr="00933F82">
        <w:rPr>
          <w:rFonts w:ascii="Arial" w:eastAsia="宋体" w:hAnsi="Arial" w:cs="Arial"/>
          <w:color w:val="000000"/>
          <w:kern w:val="0"/>
          <w:sz w:val="24"/>
          <w:szCs w:val="24"/>
        </w:rPr>
        <w:t>。</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七）完善投入机制。进一步明确各级政府提供公共教育服务职责，完善各级教育经费投入机制，保障学校办学经费的稳定来源和增长。各地根据国家办学条件基本标准和教育教学基本需要，制定并逐步提高区域内各级学校学生人均经费基本标准和学生人均财政拨款基本标准。</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进一步加大农村、边远贫困地区、民族地区教育投入。中央财政通过加大转移支付，支持农村欠发达地区和民族地区教育事业发展，加强关键领域和薄弱环节，解决突出问题。</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健全国家资助政策体系。各地根据学前教育普及程度和发展情况，逐步对农村家庭经济困难和城镇低保家庭子女接受学前教育予以资助。提高农村义务教育</w:t>
      </w:r>
      <w:r w:rsidRPr="00933F82">
        <w:rPr>
          <w:rFonts w:ascii="Arial" w:eastAsia="宋体" w:hAnsi="Arial" w:cs="Arial"/>
          <w:color w:val="000000"/>
          <w:kern w:val="0"/>
          <w:sz w:val="24"/>
          <w:szCs w:val="24"/>
        </w:rPr>
        <w:lastRenderedPageBreak/>
        <w:t>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健全研究生教育收费制度，完善资助政策，设立研究生国家奖学金。根据经济发展水平和财力状况，建立国家奖助学金标准动态调整机制。</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八）加强经费管理。坚持依法理财，严格执行国家财政资金管理法律制度和财经纪律。建立科学化、精细化预算管理机制，科学编制预算，提高预算执行效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完善学校收费管理办法，规范学校收费行为和收费资金使用管理。坚持勤俭办学，严禁铺张浪费，建设节约型学校。</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第十九章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加快教育信息化进程</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（五十九）加快教育信息基础设施建设。信息技术对教育发展具有革命性影响，必须予以高度重视。把教育信息化纳入国家信息化发展整体战略，超前部署教育信息网络。到</w:t>
      </w:r>
      <w:r w:rsidRPr="00933F82">
        <w:rPr>
          <w:rFonts w:ascii="Arial" w:eastAsia="宋体" w:hAnsi="Arial" w:cs="Arial"/>
          <w:color w:val="000000"/>
          <w:kern w:val="0"/>
          <w:sz w:val="24"/>
          <w:szCs w:val="24"/>
        </w:rPr>
        <w:t>2020</w:t>
      </w:r>
      <w:r w:rsidRPr="00933F82">
        <w:rPr>
          <w:rFonts w:ascii="Arial" w:eastAsia="宋体" w:hAnsi="Arial" w:cs="Arial"/>
          <w:color w:val="000000"/>
          <w:kern w:val="0"/>
          <w:sz w:val="24"/>
          <w:szCs w:val="24"/>
        </w:rPr>
        <w:t>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和科研计算机网、中国教育卫星宽带传输网升级换代。制定教育信息化基本标准，促进信息系统互联互通。</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六十）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强化信息技术应用。提高教师应用信息技术水平，更新教学观念，改进教学方法，提高教学效果。鼓励学生利用信息手段主动学习、自主学习，增强运用信息技术分析解决问题能力。加快全民信息技术普及和应用。</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一）构建国家教育管理信息系统。制定学校基础信息管理要求，加快学校管理信息化进程，促进学校管理标准化、规范化。推进政府教育管理信息化，积累基础资料，掌握总体状况，加强动态监测，提高管理效率。整合各级各类教育管理资源，搭建国家教育管理公共服务平台，为宏观决策提供科学依据，为公众提供公共教育信息，不断提高教育管理现代化水平。</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第二十章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推进依法治教</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二）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设。各地根据当地实际，制定促进本地区教育发展的地方性法规和规章。</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三）全面推进依法行政。各级政府要按照建设法治政府的要求，依法履行教育职责。探索教育行政执法体制机制改革，落实教育行政执法责任制，及时查处违反教育法律法规、侵害受教育者权益、扰乱教育秩序等行为，依法维护学校、学生、教师、校长和举办者的权益。完善教育信息公开制度，保障公众对教育的知情权、参与权和监督权。</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（六十四）大力推进依法治校。学校要建立完善符合法律规定、体现自身特色的学校章程和制度，依法办学，从严治校，认真履行教育教学和管理职责。尊</w:t>
      </w:r>
      <w:r w:rsidRPr="00933F82">
        <w:rPr>
          <w:rFonts w:ascii="Arial" w:eastAsia="宋体" w:hAnsi="Arial" w:cs="Arial"/>
          <w:color w:val="000000"/>
          <w:kern w:val="0"/>
          <w:sz w:val="24"/>
          <w:szCs w:val="24"/>
        </w:rPr>
        <w:lastRenderedPageBreak/>
        <w:t>重教师权利，加强教师管理。保障学生的受教育权，对学生实施的奖励与处分要符合公平、公正原则。健全符合法治原则的教育救济制度。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开展普法教育。促进师生员工提高法律素质和公民意识，自觉知法守法，遵守公共生活秩序，做遵纪守法的楷模。</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五）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严格落实问责制。主动接受和积极配合各级人大及其常委会对教育法律法规执行情况的监督检查以及司法机关的司法监督。建立健全层级监督机制。加强监察、审计等专门监督。强化社会监督。</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第二十一章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重大项目和改革试点</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（六十六）组织实施重大项目。</w:t>
      </w:r>
      <w:r w:rsidRPr="00933F82">
        <w:rPr>
          <w:rFonts w:ascii="Arial" w:eastAsia="宋体" w:hAnsi="Arial" w:cs="Arial"/>
          <w:color w:val="000000"/>
          <w:kern w:val="0"/>
          <w:sz w:val="24"/>
          <w:szCs w:val="24"/>
        </w:rPr>
        <w:t>2010</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2012</w:t>
      </w:r>
      <w:r w:rsidRPr="00933F82">
        <w:rPr>
          <w:rFonts w:ascii="Arial" w:eastAsia="宋体" w:hAnsi="Arial" w:cs="Arial"/>
          <w:color w:val="000000"/>
          <w:kern w:val="0"/>
          <w:sz w:val="24"/>
          <w:szCs w:val="24"/>
        </w:rPr>
        <w:t>年，围绕教育改革发展战略目标，着眼于促进教育公平，提高教育质量，增强可持续发展能力，以加强关键领域和薄弱环节为重点，完善机制，组织实施一批重大项目。</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义务教育学校标准化建设。完善城乡义务教育经费保障机制，科学规划、统筹安排、均衡配置、合理布局。实施中小学校舍安全工程，集中开展危房改造、抗震加固，实现城乡中小学校舍安全达标；改造小学和初中薄弱学校，尽快使义务教育学校师资、教学仪器设备、图书、体育场地基本达标；改扩建劳务输出大省和特殊困难地区农村学校寄宿设施，改善农村学生特别是留守儿童寄宿条件，基本满足需要。</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义务教育教师队伍建设。继续实施农村义务教育学校教师特设岗位计划，吸引高校毕业生到农村从教；加强农村中小学薄弱学科教师队伍建设，重点培养和补充一批边远贫困地区和革命老区急需紧缺教师；对义务教育教师进行全员培训，</w:t>
      </w:r>
      <w:r w:rsidRPr="00933F82">
        <w:rPr>
          <w:rFonts w:ascii="Arial" w:eastAsia="宋体" w:hAnsi="Arial" w:cs="Arial"/>
          <w:color w:val="000000"/>
          <w:kern w:val="0"/>
          <w:sz w:val="24"/>
          <w:szCs w:val="24"/>
        </w:rPr>
        <w:lastRenderedPageBreak/>
        <w:t>组织校长研修培训；对专科学历以下小学教师进行学历提高教育，使全国小学教师学历逐步达到专科以上水平。</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推进农村学前教育。支持办好现有的乡镇和村幼儿园；重点支持中西部贫困地区充分利用中小学富余校舍和社会资源，改扩建或新建乡镇和村幼儿园；对农村幼儿园园长和骨干教师进行培训。</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职业教育基础能力建设。支持建设一批职业教育实训基地，提升职业教育实践教学水平；完成一大批</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双师型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教师培训，聘任（聘用）一大批有实践经验和技能的专兼职教师；支持一批中等职业教育改革示范校和优质特色校建设，支持高等职业教育示范校建设；支持一批示范性职业教育集团学校建设，促进优质资源开放共享。</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w:t>
      </w:r>
      <w:r w:rsidRPr="00933F82">
        <w:rPr>
          <w:rFonts w:ascii="Arial" w:eastAsia="宋体" w:hAnsi="Arial" w:cs="Arial"/>
          <w:color w:val="000000"/>
          <w:kern w:val="0"/>
          <w:sz w:val="24"/>
          <w:szCs w:val="24"/>
        </w:rPr>
        <w:t>“985</w:t>
      </w:r>
      <w:r w:rsidRPr="00933F82">
        <w:rPr>
          <w:rFonts w:ascii="Arial" w:eastAsia="宋体" w:hAnsi="Arial" w:cs="Arial"/>
          <w:color w:val="000000"/>
          <w:kern w:val="0"/>
          <w:sz w:val="24"/>
          <w:szCs w:val="24"/>
        </w:rPr>
        <w:t>工程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和优势学科创新平台建设，继续实施</w:t>
      </w:r>
      <w:r w:rsidRPr="00933F82">
        <w:rPr>
          <w:rFonts w:ascii="Arial" w:eastAsia="宋体" w:hAnsi="Arial" w:cs="Arial"/>
          <w:color w:val="000000"/>
          <w:kern w:val="0"/>
          <w:sz w:val="24"/>
          <w:szCs w:val="24"/>
        </w:rPr>
        <w:t>“211</w:t>
      </w:r>
      <w:r w:rsidRPr="00933F82">
        <w:rPr>
          <w:rFonts w:ascii="Arial" w:eastAsia="宋体" w:hAnsi="Arial" w:cs="Arial"/>
          <w:color w:val="000000"/>
          <w:kern w:val="0"/>
          <w:sz w:val="24"/>
          <w:szCs w:val="24"/>
        </w:rPr>
        <w:t>工程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和启动特色重点学科项目；继续实施</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高等学校本科教学质量与教学改革工程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研究生教育创新计划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高等学校哲学社会科学繁荣计划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和</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高等学校高层次创新人才计划</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发展民族教育。巩固民族地区普及九年义务教育成果，支持边境县和民族自治地方贫困县实现义务教育学校标准化；重点扶持和培养一批边疆民族地区紧缺教师人才；加强对民族地区中小学和幼儿园双语教师培养培训；加快民族地区高中阶段教育发展，启动内地中职班，支持教育基础薄弱县改扩建、新建一批普通高中和中等职业学校；支持民族院校建设。</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发展特殊教育。改扩建和新建一批特殊教育学校，使市（地）和</w:t>
      </w:r>
      <w:r w:rsidRPr="00933F82">
        <w:rPr>
          <w:rFonts w:ascii="Arial" w:eastAsia="宋体" w:hAnsi="Arial" w:cs="Arial"/>
          <w:color w:val="000000"/>
          <w:kern w:val="0"/>
          <w:sz w:val="24"/>
          <w:szCs w:val="24"/>
        </w:rPr>
        <w:t>30</w:t>
      </w:r>
      <w:r w:rsidRPr="00933F82">
        <w:rPr>
          <w:rFonts w:ascii="Arial" w:eastAsia="宋体" w:hAnsi="Arial" w:cs="Arial"/>
          <w:color w:val="000000"/>
          <w:kern w:val="0"/>
          <w:sz w:val="24"/>
          <w:szCs w:val="24"/>
        </w:rPr>
        <w:t>万人口以上、残疾儿童少年较多的县（市）都有一所特殊教育学校；为现有特殊教育学校添置必要的教学、生活和康复训练设施，改善办学条件；对特殊教育教师进行专业培训，提高教育教学水平。</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家庭经济困难学生资助。启动民族地区、贫困地区农村小学生营养改善计划；免除中等职业教育家庭经济困难学生和涉农专业学生学费；把普通高中学生和研究生纳入国家助学体系。</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教育信息化建设。提高中小学每百名学生拥有计算机台数，为农村中小学班级配备多媒体远程教学设备；建设有效共享、覆盖各级各类教育的国家数字化教学资源库和公共服务平台；基本建成较完备的国家级和省级教育基础信息库以及教育质量、学生流动、资源配置和毕业生就业状况等监测分析系统。</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教育国际交流合作。支持一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（六十七）组织开展改革试点。成立国家教育体制改革领导小组，研究部署、指导实施教育体制改革工作。根据统筹规划、分步实施、试点先行、动态调整的原则，选择部分地区和学校开展重大改革试点。</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推进素质教育改革试点。建立减轻中小学生课业负担的有效机制；加强基础教育课程教材建设；开展高中办学模式多样化试验，开发特色课程；探索弹性学制等培养方式；完善教育质量监测评估体系，定期发布测评结果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职业教育办学模式改革试点。以推进政府统筹、校企合作、集团化办学为重点，探索部门、行业、企业参与办学的机制；开展委托培养、定向培养、订单式培养试点；开展工学结合、弹性学制、模块化教学等试点；推进职业教育为</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三农</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服务、培养新型农民的试点。</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终身教育体制机制建设试点。建立区域内普通教育、职业教育、继续教育之间的沟通机制；建立终身学习网络和服务平台；统筹开发社会教育资源，积极发展社区教育；建立学习成果认证体系，建立</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学分银行</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制度等。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拔尖创新人才培养改革试点。探索贯穿各级各类教育的创新人才培养途径；鼓励高等学校联合培养拔尖创新人才；支持有条件的高中与大学、科研院所合作开展创新人才培养研究和试验，建立创新人才培养基地。</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深化办学体制改革试点。探索公办学校联合办学、中外合作办学、委托管理等改革试验；开展对营利性和非营利性民办学校分类管理试点；建立民办学校财务、会计和资产管理制度；探索独立学院管理和发展的有效方式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lastRenderedPageBreak/>
        <w:t>第二十二章</w:t>
      </w:r>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加强组织领导</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（六十八）加强和改善对教育工作的领导。各级党委和政府要以邓小平理论和</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三个代表</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重要思想为指导，深入贯彻落实科学发展观，把推动教育事业优先发展、科学发展作为重要职责，健全领导体制和决策机制，及时研究解决教育改革发展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（六十九）加强和改进教育系统党的建设。把教育系统党组织建设成为学习型党组织。深入学习马克思列宁主义、毛泽东思想、邓小平理论、</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三个代表</w:t>
      </w:r>
      <w:r w:rsidRPr="00933F82">
        <w:rPr>
          <w:rFonts w:ascii="Arial" w:eastAsia="宋体" w:hAnsi="Arial" w:cs="Arial"/>
          <w:color w:val="000000"/>
          <w:kern w:val="0"/>
          <w:sz w:val="24"/>
          <w:szCs w:val="24"/>
        </w:rPr>
        <w:t>”</w:t>
      </w:r>
      <w:r w:rsidRPr="00933F82">
        <w:rPr>
          <w:rFonts w:ascii="Arial" w:eastAsia="宋体" w:hAnsi="Arial" w:cs="Arial"/>
          <w:color w:val="000000"/>
          <w:kern w:val="0"/>
          <w:sz w:val="24"/>
          <w:szCs w:val="24"/>
        </w:rPr>
        <w:t>重要思想以及科学发展观，坚持用发展着的马克思主义武装党员干部、教育广大师生。深入推动中国特色社会主义理论体系进教材、进课堂、进头脑。深入开展社会主义核心价值体系学习教育。</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挥在学校工作中的政治核心作用。加强民办学校党的建设，积极探索党组织发挥作用的途径和方法。</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加强学校领导班子和领导干部队伍建设，不断提高思想政治素质和办学治校能力。坚持德才兼备、以德为先用人标准，选拔任用学校领导干部。加大学校领导干部培养培训和交流任职力度。</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着力扩大党组织的覆盖面，推进工作创新，增强生机活力。充分发挥学校基层党组织战斗堡垒作用和党员先锋模范作用。加强在优秀青年教师、优秀学生中发展党员工作。重视学校共青团、少先队工作。</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加强教育系统党风廉政建设和行风建设。大兴密切联系群众之风、求真务实之风、艰苦奋斗之风、批评和自我批评之风。坚持标本兼治、综合治理、惩防并举、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七十）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技防措施。加强师生安全教育和学校安全管理，提高预防灾害、应急避险和防范违法犯罪活动的能力。加强校园和周边环境治安综合治理，为师生创造安定有序、和谐融洽、充满活力的工作、学习、生活环境。</w:t>
      </w:r>
    </w:p>
    <w:p w:rsidR="00933F82" w:rsidRPr="00933F82" w:rsidRDefault="00933F82" w:rsidP="0036352F">
      <w:pPr>
        <w:widowControl/>
        <w:spacing w:beforeLines="50" w:before="156" w:afterLines="50" w:after="156" w:line="480" w:lineRule="exact"/>
        <w:ind w:firstLineChars="200" w:firstLine="482"/>
        <w:jc w:val="center"/>
        <w:rPr>
          <w:rFonts w:ascii="Arial" w:eastAsia="宋体" w:hAnsi="Arial" w:cs="Arial"/>
          <w:b/>
          <w:color w:val="000000"/>
          <w:kern w:val="0"/>
          <w:sz w:val="24"/>
          <w:szCs w:val="24"/>
        </w:rPr>
      </w:pPr>
      <w:r w:rsidRPr="00933F82">
        <w:rPr>
          <w:rFonts w:ascii="Arial" w:eastAsia="宋体" w:hAnsi="Arial" w:cs="Arial"/>
          <w:b/>
          <w:color w:val="000000"/>
          <w:kern w:val="0"/>
          <w:sz w:val="24"/>
          <w:szCs w:val="24"/>
        </w:rPr>
        <w:t>实</w:t>
      </w:r>
      <w:bookmarkStart w:id="0" w:name="_GoBack"/>
      <w:bookmarkEnd w:id="0"/>
      <w:r w:rsidRPr="00933F82">
        <w:rPr>
          <w:rFonts w:ascii="Arial" w:eastAsia="宋体" w:hAnsi="Arial" w:cs="Arial"/>
          <w:b/>
          <w:color w:val="000000"/>
          <w:kern w:val="0"/>
          <w:sz w:val="24"/>
          <w:szCs w:val="24"/>
        </w:rPr>
        <w:t xml:space="preserve"> </w:t>
      </w:r>
      <w:r w:rsidRPr="00933F82">
        <w:rPr>
          <w:rFonts w:ascii="Arial" w:eastAsia="宋体" w:hAnsi="Arial" w:cs="Arial"/>
          <w:b/>
          <w:color w:val="000000"/>
          <w:kern w:val="0"/>
          <w:sz w:val="24"/>
          <w:szCs w:val="24"/>
        </w:rPr>
        <w:t>施</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《教育规划纲要》是</w:t>
      </w:r>
      <w:r w:rsidRPr="00933F82">
        <w:rPr>
          <w:rFonts w:ascii="Arial" w:eastAsia="宋体" w:hAnsi="Arial" w:cs="Arial"/>
          <w:color w:val="000000"/>
          <w:kern w:val="0"/>
          <w:sz w:val="24"/>
          <w:szCs w:val="24"/>
        </w:rPr>
        <w:t>21</w:t>
      </w:r>
      <w:r w:rsidRPr="00933F82">
        <w:rPr>
          <w:rFonts w:ascii="Arial" w:eastAsia="宋体" w:hAnsi="Arial" w:cs="Arial"/>
          <w:color w:val="000000"/>
          <w:kern w:val="0"/>
          <w:sz w:val="24"/>
          <w:szCs w:val="24"/>
        </w:rPr>
        <w:t>世纪我国第一个中长期教育规划纲要，涉及面广、时间跨度大、任务重、要求高，必须周密部署、精心组织、认真实施，确保各项任务落到实处。</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lastRenderedPageBreak/>
        <w:t>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p>
    <w:p w:rsidR="00933F82" w:rsidRPr="00933F82" w:rsidRDefault="00933F82" w:rsidP="0036352F">
      <w:pPr>
        <w:widowControl/>
        <w:spacing w:beforeLines="50" w:before="156" w:afterLines="50" w:after="156" w:line="480" w:lineRule="exact"/>
        <w:ind w:firstLineChars="200" w:firstLine="480"/>
        <w:rPr>
          <w:rFonts w:ascii="Arial" w:eastAsia="宋体" w:hAnsi="Arial" w:cs="Arial"/>
          <w:color w:val="000000"/>
          <w:kern w:val="0"/>
          <w:sz w:val="24"/>
          <w:szCs w:val="24"/>
        </w:rPr>
      </w:pPr>
      <w:r w:rsidRPr="00933F82">
        <w:rPr>
          <w:rFonts w:ascii="Arial" w:eastAsia="宋体" w:hAnsi="Arial" w:cs="Arial"/>
          <w:color w:val="000000"/>
          <w:kern w:val="0"/>
          <w:sz w:val="24"/>
          <w:szCs w:val="24"/>
        </w:rPr>
        <w:t>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p w:rsidR="00DD0E9A" w:rsidRPr="00933F82" w:rsidRDefault="00DD0E9A" w:rsidP="0036352F">
      <w:pPr>
        <w:spacing w:beforeLines="50" w:before="156" w:afterLines="50" w:after="156" w:line="480" w:lineRule="exact"/>
        <w:ind w:firstLineChars="200" w:firstLine="420"/>
      </w:pPr>
    </w:p>
    <w:sectPr w:rsidR="00DD0E9A" w:rsidRPr="00933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E6" w:rsidRDefault="007E3CE6" w:rsidP="0036352F">
      <w:r>
        <w:separator/>
      </w:r>
    </w:p>
  </w:endnote>
  <w:endnote w:type="continuationSeparator" w:id="0">
    <w:p w:rsidR="007E3CE6" w:rsidRDefault="007E3CE6" w:rsidP="0036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E6" w:rsidRDefault="007E3CE6" w:rsidP="0036352F">
      <w:r>
        <w:separator/>
      </w:r>
    </w:p>
  </w:footnote>
  <w:footnote w:type="continuationSeparator" w:id="0">
    <w:p w:rsidR="007E3CE6" w:rsidRDefault="007E3CE6" w:rsidP="00363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82"/>
    <w:rsid w:val="00067AEF"/>
    <w:rsid w:val="00257A3D"/>
    <w:rsid w:val="0036352F"/>
    <w:rsid w:val="007E3CE6"/>
    <w:rsid w:val="00933F82"/>
    <w:rsid w:val="00C221EA"/>
    <w:rsid w:val="00DD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2AC3BE-4610-4918-B4F5-7B48597C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F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3F82"/>
    <w:rPr>
      <w:b/>
      <w:bCs/>
    </w:rPr>
  </w:style>
  <w:style w:type="character" w:customStyle="1" w:styleId="apple-converted-space">
    <w:name w:val="apple-converted-space"/>
    <w:basedOn w:val="a0"/>
    <w:rsid w:val="00933F82"/>
  </w:style>
  <w:style w:type="table" w:styleId="6-2">
    <w:name w:val="Grid Table 6 Colorful Accent 2"/>
    <w:basedOn w:val="a1"/>
    <w:uiPriority w:val="51"/>
    <w:rsid w:val="00933F8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1">
    <w:name w:val="Grid Table 6 Colorful Accent 1"/>
    <w:basedOn w:val="a1"/>
    <w:uiPriority w:val="51"/>
    <w:rsid w:val="00933F8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5">
    <w:name w:val="header"/>
    <w:basedOn w:val="a"/>
    <w:link w:val="Char"/>
    <w:uiPriority w:val="99"/>
    <w:unhideWhenUsed/>
    <w:rsid w:val="003635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6352F"/>
    <w:rPr>
      <w:sz w:val="18"/>
      <w:szCs w:val="18"/>
    </w:rPr>
  </w:style>
  <w:style w:type="paragraph" w:styleId="a6">
    <w:name w:val="footer"/>
    <w:basedOn w:val="a"/>
    <w:link w:val="Char0"/>
    <w:uiPriority w:val="99"/>
    <w:unhideWhenUsed/>
    <w:rsid w:val="0036352F"/>
    <w:pPr>
      <w:tabs>
        <w:tab w:val="center" w:pos="4153"/>
        <w:tab w:val="right" w:pos="8306"/>
      </w:tabs>
      <w:snapToGrid w:val="0"/>
      <w:jc w:val="left"/>
    </w:pPr>
    <w:rPr>
      <w:sz w:val="18"/>
      <w:szCs w:val="18"/>
    </w:rPr>
  </w:style>
  <w:style w:type="character" w:customStyle="1" w:styleId="Char0">
    <w:name w:val="页脚 Char"/>
    <w:basedOn w:val="a0"/>
    <w:link w:val="a6"/>
    <w:uiPriority w:val="99"/>
    <w:rsid w:val="003635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3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4264</Words>
  <Characters>24308</Characters>
  <Application>Microsoft Office Word</Application>
  <DocSecurity>0</DocSecurity>
  <Lines>202</Lines>
  <Paragraphs>57</Paragraphs>
  <ScaleCrop>false</ScaleCrop>
  <Company>xmgcedu</Company>
  <LinksUpToDate>false</LinksUpToDate>
  <CharactersWithSpaces>28515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2017-12-02T12:19:00Z</dcterms:created>
  <dcterms:modified xsi:type="dcterms:W3CDTF">2017-12-03T03:08:00Z</dcterms:modified>
</cp:coreProperties>
</file>